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1158F" w14:textId="440BF7CE" w:rsidR="00D309CC" w:rsidRPr="004266F6" w:rsidRDefault="0034036E" w:rsidP="00D46431">
      <w:pPr>
        <w:pStyle w:val="CH"/>
      </w:pPr>
      <w:bookmarkStart w:id="0" w:name="historyclause"/>
      <w:r>
        <w:rPr>
          <w:noProof/>
        </w:rPr>
        <w:t>3GPP TSG-</w:t>
      </w:r>
      <w:fldSimple w:instr=" DOCPROPERTY  TSG/WGRef  \* MERGEFORMAT ">
        <w:r>
          <w:rPr>
            <w:noProof/>
          </w:rPr>
          <w:t>RAN5</w:t>
        </w:r>
      </w:fldSimple>
      <w:r>
        <w:rPr>
          <w:noProof/>
        </w:rPr>
        <w:t xml:space="preserve"> Meeting #</w:t>
      </w:r>
      <w:r w:rsidR="002D1A61">
        <w:t>10</w:t>
      </w:r>
      <w:r w:rsidR="00214E51">
        <w:t>7</w:t>
      </w:r>
      <w:r w:rsidR="00F56759">
        <w:tab/>
      </w:r>
      <w:r w:rsidR="00F56759">
        <w:tab/>
      </w:r>
      <w:r w:rsidR="002412BB" w:rsidRPr="002412BB">
        <w:rPr>
          <w:lang w:val="en-US"/>
        </w:rPr>
        <w:t>R5-252409</w:t>
      </w:r>
    </w:p>
    <w:p w14:paraId="0153F3AE" w14:textId="0807AAD6" w:rsidR="0034036E" w:rsidRPr="0034036E" w:rsidRDefault="00214E51" w:rsidP="0034036E">
      <w:pPr>
        <w:tabs>
          <w:tab w:val="left" w:pos="2160"/>
        </w:tabs>
        <w:rPr>
          <w:rFonts w:ascii="Arial" w:hAnsi="Arial" w:cs="Arial"/>
          <w:b/>
          <w:szCs w:val="20"/>
          <w:lang w:val="en-GB"/>
        </w:rPr>
      </w:pPr>
      <w:r w:rsidRPr="00214E51">
        <w:rPr>
          <w:rFonts w:ascii="Arial" w:hAnsi="Arial" w:cs="Arial"/>
          <w:b/>
          <w:szCs w:val="20"/>
          <w:lang w:val="en-GB"/>
        </w:rPr>
        <w:t>Malta, Malta, 19th – 23rd May 2025</w:t>
      </w:r>
    </w:p>
    <w:p w14:paraId="03983AD9" w14:textId="77777777" w:rsidR="00D309CC" w:rsidRDefault="00D309CC" w:rsidP="00D309CC">
      <w:pPr>
        <w:tabs>
          <w:tab w:val="left" w:pos="2160"/>
        </w:tabs>
        <w:rPr>
          <w:rFonts w:ascii="Arial" w:hAnsi="Arial" w:cs="Arial"/>
          <w:b/>
        </w:rPr>
      </w:pPr>
    </w:p>
    <w:p w14:paraId="021646DD" w14:textId="4536B632" w:rsidR="00DB2F35" w:rsidRPr="00DB2F35" w:rsidRDefault="00D309CC" w:rsidP="00DB2F35">
      <w:pPr>
        <w:pStyle w:val="CH"/>
        <w:spacing w:after="180"/>
      </w:pPr>
      <w:r w:rsidRPr="004266F6">
        <w:t>Agenda item:</w:t>
      </w:r>
      <w:r w:rsidRPr="004266F6">
        <w:tab/>
      </w:r>
      <w:r w:rsidR="00521B41" w:rsidRPr="00521B41">
        <w:t>5.3.3.5</w:t>
      </w:r>
    </w:p>
    <w:p w14:paraId="2BA95052" w14:textId="6297C20B" w:rsidR="00D309CC" w:rsidRPr="004266F6" w:rsidRDefault="007B5C8F" w:rsidP="00DB2F35">
      <w:pPr>
        <w:pStyle w:val="CH"/>
        <w:spacing w:after="180"/>
        <w:rPr>
          <w:b w:val="0"/>
        </w:rPr>
      </w:pPr>
      <w:r w:rsidRPr="004266F6">
        <w:t>S</w:t>
      </w:r>
      <w:r w:rsidR="0028318B">
        <w:t>ource</w:t>
      </w:r>
      <w:r w:rsidRPr="004266F6">
        <w:t>:</w:t>
      </w:r>
      <w:r w:rsidR="009A4A3B">
        <w:t xml:space="preserve">   </w:t>
      </w:r>
      <w:r w:rsidR="001F0282">
        <w:rPr>
          <w:lang w:val="en-US"/>
        </w:rPr>
        <w:t>Verizon</w:t>
      </w:r>
    </w:p>
    <w:p w14:paraId="2F2285CB" w14:textId="7EC787BD" w:rsidR="0034036E" w:rsidRDefault="00D309CC" w:rsidP="00DB2F35">
      <w:pPr>
        <w:pStyle w:val="CH"/>
        <w:spacing w:after="180"/>
        <w:rPr>
          <w:lang w:val="en-US"/>
        </w:rPr>
      </w:pPr>
      <w:r w:rsidRPr="004266F6">
        <w:t>Title:</w:t>
      </w:r>
      <w:r w:rsidR="007B5C8F">
        <w:t xml:space="preserve">       </w:t>
      </w:r>
      <w:r w:rsidR="001F0282">
        <w:t xml:space="preserve">Discussions on </w:t>
      </w:r>
      <w:r w:rsidR="002044BC">
        <w:t xml:space="preserve">38.521-3 </w:t>
      </w:r>
      <w:r w:rsidR="00DE4746" w:rsidRPr="00DE4746">
        <w:t xml:space="preserve">Inter-band NRDC </w:t>
      </w:r>
      <w:r w:rsidR="002044BC">
        <w:t xml:space="preserve">cases </w:t>
      </w:r>
      <w:r w:rsidR="00DE4746" w:rsidRPr="00DE4746">
        <w:t>between FR1 and FR2</w:t>
      </w:r>
    </w:p>
    <w:p w14:paraId="261114D2" w14:textId="54969016"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2A5F9097" w:rsidR="00AF4320" w:rsidRPr="0034036E" w:rsidRDefault="00521B41" w:rsidP="009A4A3B">
      <w:pPr>
        <w:rPr>
          <w:rFonts w:eastAsiaTheme="minorEastAsia"/>
        </w:rPr>
      </w:pPr>
      <w:r>
        <w:t>Currently in 38.521-3</w:t>
      </w:r>
      <w:r w:rsidR="00614A58">
        <w:t xml:space="preserve">, PRD21 completed NRDC between FR1 and FR2 band combos are not listed in corresponding band configuration tables in Chapter 5. </w:t>
      </w:r>
      <w:r w:rsidR="002B5A1F">
        <w:t>In addition, f</w:t>
      </w:r>
      <w:r w:rsidR="00614A58">
        <w:t>or t</w:t>
      </w:r>
      <w:r w:rsidR="00D54D30" w:rsidRPr="00D54D30">
        <w:t>ransmitter and receiver characteristics</w:t>
      </w:r>
      <w:r w:rsidR="00614A58">
        <w:t xml:space="preserve"> testing</w:t>
      </w:r>
      <w:r w:rsidR="00D54D30" w:rsidRPr="00D54D30">
        <w:t>, there is no separate test configurations and test procedures for cases of NRDC between FR1 and FR2, except 6.2B.5 (Configured output power for NR-DC)</w:t>
      </w:r>
      <w:r w:rsidR="00D54D30">
        <w:t>.</w:t>
      </w:r>
      <w:r w:rsidR="00D54D30" w:rsidRPr="00D54D30">
        <w:t xml:space="preserve"> </w:t>
      </w:r>
      <w:r w:rsidR="00BA2E50">
        <w:t>Th</w:t>
      </w:r>
      <w:r w:rsidR="00500BF8">
        <w:t xml:space="preserve">ere is a need to close the lope of NRDC </w:t>
      </w:r>
      <w:r w:rsidR="00BA2E50">
        <w:t xml:space="preserve">cases </w:t>
      </w:r>
      <w:r w:rsidR="00BA2E50" w:rsidRPr="00DE4746">
        <w:t>between FR1 and FR2</w:t>
      </w:r>
      <w:r w:rsidR="00614A58">
        <w:t xml:space="preserve"> </w:t>
      </w:r>
      <w:r w:rsidR="00BA2E50">
        <w:t>in 38.521-3, so that it can be referred from the certification organizations</w:t>
      </w:r>
      <w:r w:rsidR="00614A58">
        <w:t xml:space="preserve"> properly</w:t>
      </w:r>
      <w:r w:rsidR="00BA2E50">
        <w:t>.</w:t>
      </w:r>
    </w:p>
    <w:p w14:paraId="0DAC4C24" w14:textId="7D05021D" w:rsidR="008E7986" w:rsidRDefault="008E7986" w:rsidP="00AF4320">
      <w:pPr>
        <w:pStyle w:val="Heading1"/>
      </w:pPr>
      <w:r w:rsidRPr="00457F7D">
        <w:t>2</w:t>
      </w:r>
      <w:r w:rsidRPr="00457F7D">
        <w:tab/>
      </w:r>
      <w:r w:rsidR="004266F6" w:rsidRPr="00457F7D">
        <w:t>Discussion</w:t>
      </w:r>
      <w:r w:rsidRPr="00DB2F35">
        <w:t xml:space="preserve"> </w:t>
      </w:r>
    </w:p>
    <w:p w14:paraId="4866C5B9" w14:textId="25F12AB7" w:rsidR="00F52BCF" w:rsidRPr="001A79C1" w:rsidRDefault="0034036E" w:rsidP="001A79C1">
      <w:pPr>
        <w:pStyle w:val="Heading3"/>
        <w:rPr>
          <w:rFonts w:eastAsiaTheme="minorEastAsia"/>
        </w:rPr>
      </w:pPr>
      <w:r>
        <w:rPr>
          <w:rFonts w:eastAsiaTheme="minorEastAsia"/>
        </w:rPr>
        <w:t>2.1</w:t>
      </w:r>
      <w:r>
        <w:rPr>
          <w:rFonts w:eastAsiaTheme="minorEastAsia"/>
        </w:rPr>
        <w:tab/>
      </w:r>
      <w:r w:rsidR="001A79C1">
        <w:rPr>
          <w:rFonts w:eastAsiaTheme="minorEastAsia"/>
        </w:rPr>
        <w:t xml:space="preserve">Inter-band NRDC </w:t>
      </w:r>
      <w:r w:rsidR="00BA2E50">
        <w:rPr>
          <w:rFonts w:eastAsiaTheme="minorEastAsia"/>
        </w:rPr>
        <w:t>cases</w:t>
      </w:r>
      <w:r w:rsidR="001A79C1">
        <w:rPr>
          <w:rFonts w:eastAsiaTheme="minorEastAsia"/>
        </w:rPr>
        <w:t xml:space="preserve"> between FR1 and FR2</w:t>
      </w:r>
      <w:r w:rsidR="00BA2E50">
        <w:rPr>
          <w:rFonts w:eastAsiaTheme="minorEastAsia"/>
        </w:rPr>
        <w:t xml:space="preserve"> in 38.521-3</w:t>
      </w:r>
    </w:p>
    <w:p w14:paraId="5FF26AFA" w14:textId="1CC7F6DE" w:rsidR="00D54D30" w:rsidRDefault="00D54D30" w:rsidP="00F52BCF">
      <w:r>
        <w:t>Currently in 38.521-3</w:t>
      </w:r>
      <w:r w:rsidR="002B5A1F">
        <w:t>, the PRD21 completed NRDC band combos are not listed in Chapter 5 (</w:t>
      </w:r>
      <w:r w:rsidR="002B5A1F" w:rsidRPr="00D54D30">
        <w:t>Operating bands and channel arrangement</w:t>
      </w:r>
      <w:r w:rsidR="002B5A1F">
        <w:t xml:space="preserve">). In addition, for </w:t>
      </w:r>
      <w:r w:rsidRPr="00D54D30">
        <w:t>Chapter6 and Chapter7 transmitter and receiver characteristics, there is no separate test configurations and test procedures for cases of NRDC between FR1 and FR2, except 6.2B.5 (Configured output power for NR-DC)</w:t>
      </w:r>
      <w:r>
        <w:t xml:space="preserve">, while the ENDC part </w:t>
      </w:r>
      <w:r w:rsidR="009E2E62">
        <w:t>is</w:t>
      </w:r>
      <w:r>
        <w:t xml:space="preserve"> fully specified. There is a need to close the lope of NRDC cases </w:t>
      </w:r>
      <w:r w:rsidRPr="00DE4746">
        <w:t>between FR1 and FR2</w:t>
      </w:r>
      <w:r>
        <w:t xml:space="preserve"> in 38.521-3, so that it can be referred </w:t>
      </w:r>
      <w:r w:rsidR="002B5A1F">
        <w:t xml:space="preserve">properly </w:t>
      </w:r>
      <w:r>
        <w:t>from the certification organizations for certification purposes.</w:t>
      </w:r>
    </w:p>
    <w:p w14:paraId="5BF22061" w14:textId="77777777" w:rsidR="00D54D30" w:rsidRDefault="00D54D30" w:rsidP="00F52BCF"/>
    <w:p w14:paraId="200F20CE" w14:textId="04B0BD3D" w:rsidR="008F0F1A" w:rsidRDefault="00D54D30" w:rsidP="00F52BCF">
      <w:pPr>
        <w:rPr>
          <w:rFonts w:eastAsia="MS Mincho"/>
          <w:b/>
          <w:bCs/>
          <w:i/>
          <w:iCs/>
        </w:rPr>
      </w:pPr>
      <w:r w:rsidRPr="0006102C">
        <w:rPr>
          <w:rFonts w:eastAsia="MS Mincho"/>
          <w:b/>
          <w:bCs/>
          <w:i/>
          <w:iCs/>
        </w:rPr>
        <w:t>Observation 1</w:t>
      </w:r>
      <w:r>
        <w:rPr>
          <w:rFonts w:eastAsia="MS Mincho"/>
          <w:b/>
          <w:bCs/>
          <w:i/>
          <w:iCs/>
        </w:rPr>
        <w:t xml:space="preserve">: </w:t>
      </w:r>
      <w:r w:rsidR="009E2E62">
        <w:rPr>
          <w:rFonts w:eastAsia="MS Mincho"/>
          <w:b/>
          <w:bCs/>
          <w:i/>
          <w:iCs/>
        </w:rPr>
        <w:t>In s</w:t>
      </w:r>
      <w:r>
        <w:rPr>
          <w:rFonts w:eastAsia="MS Mincho"/>
          <w:b/>
          <w:bCs/>
          <w:i/>
          <w:iCs/>
        </w:rPr>
        <w:t>ection 5.2 (</w:t>
      </w:r>
      <w:r w:rsidRPr="00D54D30">
        <w:rPr>
          <w:rFonts w:eastAsia="MS Mincho"/>
          <w:b/>
          <w:bCs/>
          <w:i/>
          <w:iCs/>
        </w:rPr>
        <w:t>Operating bands for CA</w:t>
      </w:r>
      <w:r>
        <w:rPr>
          <w:rFonts w:eastAsia="MS Mincho"/>
          <w:b/>
          <w:bCs/>
          <w:i/>
          <w:iCs/>
        </w:rPr>
        <w:t>)</w:t>
      </w:r>
      <w:r w:rsidR="009E2E62">
        <w:rPr>
          <w:rFonts w:eastAsia="MS Mincho"/>
          <w:b/>
          <w:bCs/>
          <w:i/>
          <w:iCs/>
        </w:rPr>
        <w:t>,</w:t>
      </w:r>
      <w:r>
        <w:rPr>
          <w:rFonts w:eastAsia="MS Mincho"/>
          <w:b/>
          <w:bCs/>
          <w:i/>
          <w:iCs/>
        </w:rPr>
        <w:t xml:space="preserve"> </w:t>
      </w:r>
      <w:r w:rsidRPr="00D54D30">
        <w:rPr>
          <w:rFonts w:eastAsia="MS Mincho"/>
          <w:b/>
          <w:bCs/>
          <w:i/>
          <w:iCs/>
        </w:rPr>
        <w:t>Table 5.2A.1-1: Band combinations for inter-band NR CA between FR1 and FR2</w:t>
      </w:r>
      <w:r w:rsidR="009E2E62">
        <w:rPr>
          <w:rFonts w:eastAsia="MS Mincho"/>
          <w:b/>
          <w:bCs/>
          <w:i/>
          <w:iCs/>
        </w:rPr>
        <w:t>,</w:t>
      </w:r>
      <w:r>
        <w:rPr>
          <w:rFonts w:eastAsia="MS Mincho"/>
          <w:b/>
          <w:bCs/>
          <w:i/>
          <w:iCs/>
        </w:rPr>
        <w:t xml:space="preserve"> is empty with the following editor’s note</w:t>
      </w:r>
      <w:r w:rsidR="00EF5C8E">
        <w:rPr>
          <w:rFonts w:eastAsia="MS Mincho"/>
          <w:b/>
          <w:bCs/>
          <w:i/>
          <w:iCs/>
        </w:rPr>
        <w:t>, while PRD21 has</w:t>
      </w:r>
      <w:r w:rsidR="009E2E62">
        <w:rPr>
          <w:rFonts w:eastAsia="MS Mincho"/>
          <w:b/>
          <w:bCs/>
          <w:i/>
          <w:iCs/>
        </w:rPr>
        <w:t xml:space="preserve"> a list of</w:t>
      </w:r>
      <w:r w:rsidR="00EF5C8E">
        <w:rPr>
          <w:rFonts w:eastAsia="MS Mincho"/>
          <w:b/>
          <w:bCs/>
          <w:i/>
          <w:iCs/>
        </w:rPr>
        <w:t xml:space="preserve"> completed NRDC between FR1 FR2 band combos which are operated in the current network </w:t>
      </w:r>
    </w:p>
    <w:p w14:paraId="37FBAD4A" w14:textId="4D33C3BA" w:rsidR="00EF5C8E" w:rsidRDefault="00EF5C8E" w:rsidP="00F52BCF">
      <w:pPr>
        <w:rPr>
          <w:rFonts w:eastAsia="MS Mincho"/>
          <w:b/>
          <w:bCs/>
          <w:i/>
          <w:iCs/>
        </w:rPr>
      </w:pPr>
    </w:p>
    <w:p w14:paraId="55E89A39" w14:textId="7E441298" w:rsidR="00EF5C8E" w:rsidRDefault="00EF5C8E" w:rsidP="00F52BCF">
      <w:r>
        <w:rPr>
          <w:noProof/>
        </w:rPr>
        <w:drawing>
          <wp:inline distT="0" distB="0" distL="0" distR="0" wp14:anchorId="5708BBD9" wp14:editId="3C581E7D">
            <wp:extent cx="6115050" cy="850900"/>
            <wp:effectExtent l="133350" t="114300" r="133350" b="1587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8509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A943C28" w14:textId="38F9FAD8" w:rsidR="008F0F1A" w:rsidRDefault="008F0F1A" w:rsidP="00F52BCF"/>
    <w:p w14:paraId="27CA9B10" w14:textId="01757609" w:rsidR="0080546A" w:rsidRDefault="00EF5C8E" w:rsidP="00EF5C8E">
      <w:pPr>
        <w:rPr>
          <w:rFonts w:eastAsia="MS Mincho"/>
          <w:b/>
          <w:bCs/>
          <w:i/>
          <w:iCs/>
        </w:rPr>
      </w:pPr>
      <w:r w:rsidRPr="0006102C">
        <w:rPr>
          <w:rFonts w:eastAsia="MS Mincho"/>
          <w:b/>
          <w:bCs/>
          <w:i/>
          <w:iCs/>
        </w:rPr>
        <w:t xml:space="preserve">Observation </w:t>
      </w:r>
      <w:r>
        <w:rPr>
          <w:rFonts w:eastAsia="MS Mincho"/>
          <w:b/>
          <w:bCs/>
          <w:i/>
          <w:iCs/>
        </w:rPr>
        <w:t xml:space="preserve">2: </w:t>
      </w:r>
      <w:r w:rsidR="009E2E62">
        <w:rPr>
          <w:rFonts w:eastAsia="MS Mincho"/>
          <w:b/>
          <w:bCs/>
          <w:i/>
          <w:iCs/>
        </w:rPr>
        <w:t>In s</w:t>
      </w:r>
      <w:r>
        <w:rPr>
          <w:rFonts w:eastAsia="MS Mincho"/>
          <w:b/>
          <w:bCs/>
          <w:i/>
          <w:iCs/>
        </w:rPr>
        <w:t>ection 5.5A.1 (</w:t>
      </w:r>
      <w:r w:rsidR="00D03B7E" w:rsidRPr="00D03B7E">
        <w:rPr>
          <w:rFonts w:eastAsia="MS Mincho"/>
          <w:b/>
          <w:bCs/>
          <w:i/>
          <w:iCs/>
        </w:rPr>
        <w:t>Configuration for CA</w:t>
      </w:r>
      <w:r>
        <w:rPr>
          <w:rFonts w:eastAsia="MS Mincho"/>
          <w:b/>
          <w:bCs/>
          <w:i/>
          <w:iCs/>
        </w:rPr>
        <w:t>)</w:t>
      </w:r>
      <w:r w:rsidR="009E2E62">
        <w:rPr>
          <w:rFonts w:eastAsia="MS Mincho"/>
          <w:b/>
          <w:bCs/>
          <w:i/>
          <w:iCs/>
        </w:rPr>
        <w:t>,</w:t>
      </w:r>
      <w:r>
        <w:rPr>
          <w:rFonts w:eastAsia="MS Mincho"/>
          <w:b/>
          <w:bCs/>
          <w:i/>
          <w:iCs/>
        </w:rPr>
        <w:t xml:space="preserve"> </w:t>
      </w:r>
      <w:r w:rsidR="00D03B7E" w:rsidRPr="00D03B7E">
        <w:rPr>
          <w:rFonts w:eastAsia="MS Mincho"/>
          <w:b/>
          <w:bCs/>
          <w:i/>
          <w:iCs/>
        </w:rPr>
        <w:t>Table 5.5A.1-1: Inter-band CA configurations and bandwidth combinations sets between FR1 and FR2 (two bands)</w:t>
      </w:r>
      <w:r w:rsidR="009E2E62">
        <w:rPr>
          <w:rFonts w:eastAsia="MS Mincho"/>
          <w:b/>
          <w:bCs/>
          <w:i/>
          <w:iCs/>
        </w:rPr>
        <w:t>,</w:t>
      </w:r>
      <w:r>
        <w:rPr>
          <w:rFonts w:eastAsia="MS Mincho"/>
          <w:b/>
          <w:bCs/>
          <w:i/>
          <w:iCs/>
        </w:rPr>
        <w:t xml:space="preserve"> is empty with the following editor’s note, while PRD21 has</w:t>
      </w:r>
      <w:r w:rsidR="009E2E62">
        <w:rPr>
          <w:rFonts w:eastAsia="MS Mincho"/>
          <w:b/>
          <w:bCs/>
          <w:i/>
          <w:iCs/>
        </w:rPr>
        <w:t xml:space="preserve"> a list of</w:t>
      </w:r>
      <w:r>
        <w:rPr>
          <w:rFonts w:eastAsia="MS Mincho"/>
          <w:b/>
          <w:bCs/>
          <w:i/>
          <w:iCs/>
        </w:rPr>
        <w:t xml:space="preserve"> completed NR</w:t>
      </w:r>
      <w:r w:rsidR="00D03B7E">
        <w:rPr>
          <w:rFonts w:eastAsia="MS Mincho"/>
          <w:b/>
          <w:bCs/>
          <w:i/>
          <w:iCs/>
        </w:rPr>
        <w:t>CA</w:t>
      </w:r>
      <w:r>
        <w:rPr>
          <w:rFonts w:eastAsia="MS Mincho"/>
          <w:b/>
          <w:bCs/>
          <w:i/>
          <w:iCs/>
        </w:rPr>
        <w:t xml:space="preserve"> between FR1 FR2 band combos </w:t>
      </w:r>
      <w:r w:rsidR="00D03B7E">
        <w:rPr>
          <w:rFonts w:eastAsia="MS Mincho"/>
          <w:b/>
          <w:bCs/>
          <w:i/>
          <w:iCs/>
        </w:rPr>
        <w:t>which are operated in the current network</w:t>
      </w:r>
    </w:p>
    <w:p w14:paraId="123DD5FE" w14:textId="77777777" w:rsidR="00AF1DE7" w:rsidRDefault="00AF1DE7" w:rsidP="00EF5C8E">
      <w:pPr>
        <w:rPr>
          <w:rFonts w:eastAsia="MS Mincho"/>
          <w:b/>
          <w:bCs/>
          <w:i/>
          <w:iCs/>
        </w:rPr>
      </w:pPr>
    </w:p>
    <w:p w14:paraId="2A756F60" w14:textId="47CAED99" w:rsidR="0080546A" w:rsidRDefault="0080546A" w:rsidP="00EF5C8E">
      <w:r>
        <w:rPr>
          <w:noProof/>
        </w:rPr>
        <w:lastRenderedPageBreak/>
        <w:drawing>
          <wp:inline distT="0" distB="0" distL="0" distR="0" wp14:anchorId="2724C06B" wp14:editId="4B56A088">
            <wp:extent cx="6108700" cy="590550"/>
            <wp:effectExtent l="133350" t="114300" r="120650" b="1714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08700" cy="59055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6C1157A0" w14:textId="77777777" w:rsidR="00AF1DE7" w:rsidRDefault="00AF1DE7" w:rsidP="00F52BCF">
      <w:pPr>
        <w:rPr>
          <w:rFonts w:eastAsia="MS Mincho"/>
          <w:b/>
          <w:bCs/>
          <w:i/>
          <w:iCs/>
        </w:rPr>
      </w:pPr>
    </w:p>
    <w:p w14:paraId="69190A02" w14:textId="694736E1" w:rsidR="00EF5C8E" w:rsidRDefault="00D722DD" w:rsidP="00F52BCF">
      <w:pPr>
        <w:rPr>
          <w:rFonts w:eastAsia="MS Mincho"/>
          <w:b/>
          <w:bCs/>
          <w:i/>
          <w:iCs/>
        </w:rPr>
      </w:pPr>
      <w:r w:rsidRPr="0006102C">
        <w:rPr>
          <w:rFonts w:eastAsia="MS Mincho"/>
          <w:b/>
          <w:bCs/>
          <w:i/>
          <w:iCs/>
        </w:rPr>
        <w:t xml:space="preserve">Observation </w:t>
      </w:r>
      <w:r>
        <w:rPr>
          <w:rFonts w:eastAsia="MS Mincho"/>
          <w:b/>
          <w:bCs/>
          <w:i/>
          <w:iCs/>
        </w:rPr>
        <w:t xml:space="preserve">3: </w:t>
      </w:r>
      <w:r w:rsidR="009E2E62">
        <w:rPr>
          <w:rFonts w:eastAsia="MS Mincho"/>
          <w:b/>
          <w:bCs/>
          <w:i/>
          <w:iCs/>
        </w:rPr>
        <w:t>In s</w:t>
      </w:r>
      <w:r>
        <w:rPr>
          <w:rFonts w:eastAsia="MS Mincho"/>
          <w:b/>
          <w:bCs/>
          <w:i/>
          <w:iCs/>
        </w:rPr>
        <w:t>ection 5.5B (configuration for DC)</w:t>
      </w:r>
      <w:r w:rsidR="009E2E62">
        <w:rPr>
          <w:rFonts w:eastAsia="MS Mincho"/>
          <w:b/>
          <w:bCs/>
          <w:i/>
          <w:iCs/>
        </w:rPr>
        <w:t>, the</w:t>
      </w:r>
      <w:r>
        <w:rPr>
          <w:rFonts w:eastAsia="MS Mincho"/>
          <w:b/>
          <w:bCs/>
          <w:i/>
          <w:iCs/>
        </w:rPr>
        <w:t xml:space="preserve"> subsection 5.5B.1 </w:t>
      </w:r>
      <w:r w:rsidR="00C16AD4">
        <w:rPr>
          <w:rFonts w:eastAsia="MS Mincho"/>
          <w:b/>
          <w:bCs/>
          <w:i/>
          <w:iCs/>
        </w:rPr>
        <w:t>refers</w:t>
      </w:r>
      <w:r>
        <w:rPr>
          <w:rFonts w:eastAsia="MS Mincho"/>
          <w:b/>
          <w:bCs/>
          <w:i/>
          <w:iCs/>
        </w:rPr>
        <w:t xml:space="preserve"> to </w:t>
      </w:r>
      <w:r w:rsidR="009E2E62">
        <w:rPr>
          <w:rFonts w:eastAsia="MS Mincho"/>
          <w:b/>
          <w:bCs/>
          <w:i/>
          <w:iCs/>
        </w:rPr>
        <w:t>s</w:t>
      </w:r>
      <w:r>
        <w:rPr>
          <w:rFonts w:eastAsia="MS Mincho"/>
          <w:b/>
          <w:bCs/>
          <w:i/>
          <w:iCs/>
        </w:rPr>
        <w:t>ection 5.5A.1</w:t>
      </w:r>
      <w:r w:rsidR="009E2E62">
        <w:rPr>
          <w:rFonts w:eastAsia="MS Mincho"/>
          <w:b/>
          <w:bCs/>
          <w:i/>
          <w:iCs/>
        </w:rPr>
        <w:t xml:space="preserve"> of </w:t>
      </w:r>
      <w:r>
        <w:rPr>
          <w:rFonts w:eastAsia="MS Mincho"/>
          <w:b/>
          <w:bCs/>
          <w:i/>
          <w:iCs/>
        </w:rPr>
        <w:t>NR CA configurations between FR1 FR2</w:t>
      </w:r>
      <w:r w:rsidR="009E2E62">
        <w:rPr>
          <w:rFonts w:eastAsia="MS Mincho"/>
          <w:b/>
          <w:bCs/>
          <w:i/>
          <w:iCs/>
        </w:rPr>
        <w:t>,</w:t>
      </w:r>
      <w:r>
        <w:rPr>
          <w:rFonts w:eastAsia="MS Mincho"/>
          <w:b/>
          <w:bCs/>
          <w:i/>
          <w:iCs/>
        </w:rPr>
        <w:t xml:space="preserve"> which </w:t>
      </w:r>
      <w:r w:rsidR="009E2E62">
        <w:rPr>
          <w:rFonts w:eastAsia="MS Mincho"/>
          <w:b/>
          <w:bCs/>
          <w:i/>
          <w:iCs/>
        </w:rPr>
        <w:t>has</w:t>
      </w:r>
      <w:r>
        <w:rPr>
          <w:rFonts w:eastAsia="MS Mincho"/>
          <w:b/>
          <w:bCs/>
          <w:i/>
          <w:iCs/>
        </w:rPr>
        <w:t xml:space="preserve"> an empty table (see Observation 2)</w:t>
      </w:r>
    </w:p>
    <w:p w14:paraId="4A1BF69C" w14:textId="2DD0AD91" w:rsidR="00C16AD4" w:rsidRDefault="00C16AD4" w:rsidP="00F52BCF">
      <w:pPr>
        <w:rPr>
          <w:rFonts w:eastAsia="MS Mincho"/>
          <w:b/>
          <w:bCs/>
          <w:i/>
          <w:iCs/>
        </w:rPr>
      </w:pPr>
    </w:p>
    <w:p w14:paraId="399F66EC" w14:textId="463A9E4B" w:rsidR="00C16AD4" w:rsidRDefault="00C16AD4" w:rsidP="00F52BCF">
      <w:pPr>
        <w:rPr>
          <w:rFonts w:eastAsia="MS Mincho"/>
          <w:b/>
          <w:bCs/>
          <w:i/>
          <w:iCs/>
        </w:rPr>
      </w:pPr>
      <w:r w:rsidRPr="0006102C">
        <w:rPr>
          <w:rFonts w:eastAsia="MS Mincho"/>
          <w:b/>
          <w:bCs/>
          <w:i/>
          <w:iCs/>
        </w:rPr>
        <w:t xml:space="preserve">Observation </w:t>
      </w:r>
      <w:r>
        <w:rPr>
          <w:rFonts w:eastAsia="MS Mincho"/>
          <w:b/>
          <w:bCs/>
          <w:i/>
          <w:iCs/>
        </w:rPr>
        <w:t xml:space="preserve">4: </w:t>
      </w:r>
      <w:r w:rsidR="009E2E62">
        <w:rPr>
          <w:rFonts w:eastAsia="MS Mincho"/>
          <w:b/>
          <w:bCs/>
          <w:i/>
          <w:iCs/>
        </w:rPr>
        <w:t>In s</w:t>
      </w:r>
      <w:r>
        <w:rPr>
          <w:rFonts w:eastAsia="MS Mincho"/>
          <w:b/>
          <w:bCs/>
          <w:i/>
          <w:iCs/>
        </w:rPr>
        <w:t>ection 5.5B (configuration for DC)</w:t>
      </w:r>
      <w:r w:rsidR="009E2E62">
        <w:rPr>
          <w:rFonts w:eastAsia="MS Mincho"/>
          <w:b/>
          <w:bCs/>
          <w:i/>
          <w:iCs/>
        </w:rPr>
        <w:t>, the</w:t>
      </w:r>
      <w:r>
        <w:rPr>
          <w:rFonts w:eastAsia="MS Mincho"/>
          <w:b/>
          <w:bCs/>
          <w:i/>
          <w:iCs/>
        </w:rPr>
        <w:t xml:space="preserve"> subsection 5.5B.7 refers to </w:t>
      </w:r>
      <w:r w:rsidR="009E2E62">
        <w:rPr>
          <w:rFonts w:eastAsia="MS Mincho"/>
          <w:b/>
          <w:bCs/>
          <w:i/>
          <w:iCs/>
        </w:rPr>
        <w:t>s</w:t>
      </w:r>
      <w:r>
        <w:rPr>
          <w:rFonts w:eastAsia="MS Mincho"/>
          <w:b/>
          <w:bCs/>
          <w:i/>
          <w:iCs/>
        </w:rPr>
        <w:t xml:space="preserve">ection 5.5A.1 </w:t>
      </w:r>
      <w:r w:rsidR="009E2E62">
        <w:rPr>
          <w:rFonts w:eastAsia="MS Mincho"/>
          <w:b/>
          <w:bCs/>
          <w:i/>
          <w:iCs/>
        </w:rPr>
        <w:t xml:space="preserve">of </w:t>
      </w:r>
      <w:r>
        <w:rPr>
          <w:rFonts w:eastAsia="MS Mincho"/>
          <w:b/>
          <w:bCs/>
          <w:i/>
          <w:iCs/>
        </w:rPr>
        <w:t>NR CA configurations between FR1 FR2</w:t>
      </w:r>
      <w:r w:rsidR="009E2E62">
        <w:rPr>
          <w:rFonts w:eastAsia="MS Mincho"/>
          <w:b/>
          <w:bCs/>
          <w:i/>
          <w:iCs/>
        </w:rPr>
        <w:t>,</w:t>
      </w:r>
      <w:r>
        <w:rPr>
          <w:rFonts w:eastAsia="MS Mincho"/>
          <w:b/>
          <w:bCs/>
          <w:i/>
          <w:iCs/>
        </w:rPr>
        <w:t xml:space="preserve"> which </w:t>
      </w:r>
      <w:r w:rsidR="009E2E62">
        <w:rPr>
          <w:rFonts w:eastAsia="MS Mincho"/>
          <w:b/>
          <w:bCs/>
          <w:i/>
          <w:iCs/>
        </w:rPr>
        <w:t>has</w:t>
      </w:r>
      <w:r>
        <w:rPr>
          <w:rFonts w:eastAsia="MS Mincho"/>
          <w:b/>
          <w:bCs/>
          <w:i/>
          <w:iCs/>
        </w:rPr>
        <w:t xml:space="preserve"> an empty table (see Observation 2)</w:t>
      </w:r>
    </w:p>
    <w:p w14:paraId="29C5CDBB" w14:textId="24723748" w:rsidR="00C16AD4" w:rsidRDefault="00C16AD4" w:rsidP="00F52BCF">
      <w:pPr>
        <w:rPr>
          <w:rFonts w:eastAsia="MS Mincho"/>
          <w:b/>
          <w:bCs/>
          <w:i/>
          <w:iCs/>
        </w:rPr>
      </w:pPr>
    </w:p>
    <w:p w14:paraId="4CBF8F69" w14:textId="3F06BC6C" w:rsidR="00C16AD4" w:rsidRDefault="00C16AD4" w:rsidP="00F52BCF">
      <w:r w:rsidRPr="0006102C">
        <w:rPr>
          <w:rFonts w:eastAsia="MS Mincho"/>
          <w:b/>
          <w:bCs/>
          <w:i/>
          <w:iCs/>
        </w:rPr>
        <w:t xml:space="preserve">Observation </w:t>
      </w:r>
      <w:r>
        <w:rPr>
          <w:rFonts w:eastAsia="MS Mincho"/>
          <w:b/>
          <w:bCs/>
          <w:i/>
          <w:iCs/>
        </w:rPr>
        <w:t xml:space="preserve">5: </w:t>
      </w:r>
      <w:r w:rsidR="009E2E62">
        <w:rPr>
          <w:rFonts w:eastAsia="MS Mincho"/>
          <w:b/>
          <w:bCs/>
          <w:i/>
          <w:iCs/>
        </w:rPr>
        <w:t>In s</w:t>
      </w:r>
      <w:r>
        <w:rPr>
          <w:rFonts w:eastAsia="MS Mincho"/>
          <w:b/>
          <w:bCs/>
          <w:i/>
          <w:iCs/>
        </w:rPr>
        <w:t>ection 5.5B (configuration for DC)</w:t>
      </w:r>
      <w:r w:rsidR="009E2E62">
        <w:rPr>
          <w:rFonts w:eastAsia="MS Mincho"/>
          <w:b/>
          <w:bCs/>
          <w:i/>
          <w:iCs/>
        </w:rPr>
        <w:t xml:space="preserve"> </w:t>
      </w:r>
      <w:r>
        <w:rPr>
          <w:rFonts w:eastAsia="MS Mincho"/>
          <w:b/>
          <w:bCs/>
          <w:i/>
          <w:iCs/>
        </w:rPr>
        <w:t>subsection 5.5B.7</w:t>
      </w:r>
      <w:r w:rsidR="009E2E62">
        <w:rPr>
          <w:rFonts w:eastAsia="MS Mincho"/>
          <w:b/>
          <w:bCs/>
          <w:i/>
          <w:iCs/>
        </w:rPr>
        <w:t>,</w:t>
      </w:r>
      <w:r>
        <w:rPr>
          <w:rFonts w:eastAsia="MS Mincho"/>
          <w:b/>
          <w:bCs/>
          <w:i/>
          <w:iCs/>
        </w:rPr>
        <w:t xml:space="preserve"> </w:t>
      </w:r>
      <w:r w:rsidR="00F04C49" w:rsidRPr="00F04C49">
        <w:rPr>
          <w:rFonts w:eastAsia="MS Mincho"/>
          <w:b/>
          <w:bCs/>
          <w:i/>
          <w:iCs/>
        </w:rPr>
        <w:t>Table 5.5B.7-1: Inter-band NR-DC configurations between FR1 and FR2 (two bands)</w:t>
      </w:r>
      <w:r w:rsidR="009E2E62">
        <w:rPr>
          <w:rFonts w:eastAsia="MS Mincho"/>
          <w:b/>
          <w:bCs/>
          <w:i/>
          <w:iCs/>
        </w:rPr>
        <w:t>,</w:t>
      </w:r>
      <w:r w:rsidR="00F04C49">
        <w:rPr>
          <w:rFonts w:eastAsia="MS Mincho"/>
          <w:b/>
          <w:bCs/>
          <w:i/>
          <w:iCs/>
        </w:rPr>
        <w:t xml:space="preserve"> </w:t>
      </w:r>
      <w:r w:rsidR="00F04C49" w:rsidRPr="00F04C49">
        <w:rPr>
          <w:rFonts w:eastAsia="MS Mincho"/>
          <w:b/>
          <w:bCs/>
          <w:i/>
          <w:iCs/>
        </w:rPr>
        <w:t>is empty with the following editor’s note, while PRD21 has</w:t>
      </w:r>
      <w:r w:rsidR="009E2E62">
        <w:rPr>
          <w:rFonts w:eastAsia="MS Mincho"/>
          <w:b/>
          <w:bCs/>
          <w:i/>
          <w:iCs/>
        </w:rPr>
        <w:t xml:space="preserve"> a list of</w:t>
      </w:r>
      <w:r w:rsidR="00F04C49" w:rsidRPr="00F04C49">
        <w:rPr>
          <w:rFonts w:eastAsia="MS Mincho"/>
          <w:b/>
          <w:bCs/>
          <w:i/>
          <w:iCs/>
        </w:rPr>
        <w:t xml:space="preserve"> completed NR</w:t>
      </w:r>
      <w:r w:rsidR="00F04C49">
        <w:rPr>
          <w:rFonts w:eastAsia="MS Mincho"/>
          <w:b/>
          <w:bCs/>
          <w:i/>
          <w:iCs/>
        </w:rPr>
        <w:t>DC</w:t>
      </w:r>
      <w:r w:rsidR="00F04C49" w:rsidRPr="00F04C49">
        <w:rPr>
          <w:rFonts w:eastAsia="MS Mincho"/>
          <w:b/>
          <w:bCs/>
          <w:i/>
          <w:iCs/>
        </w:rPr>
        <w:t xml:space="preserve"> between FR1 FR2 band combos which are operated in the current network</w:t>
      </w:r>
    </w:p>
    <w:p w14:paraId="59F15056" w14:textId="77777777" w:rsidR="00EF5C8E" w:rsidRDefault="00EF5C8E" w:rsidP="00F52BCF"/>
    <w:p w14:paraId="6538D810" w14:textId="1C9DA990" w:rsidR="00787105" w:rsidRDefault="008F0F1A" w:rsidP="00F52BCF">
      <w:r>
        <w:rPr>
          <w:noProof/>
        </w:rPr>
        <w:drawing>
          <wp:inline distT="0" distB="0" distL="0" distR="0" wp14:anchorId="73CE74E7" wp14:editId="0740B848">
            <wp:extent cx="6109970" cy="1163955"/>
            <wp:effectExtent l="133350" t="114300" r="119380" b="1695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09970" cy="116395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787CE301" w14:textId="77777777" w:rsidR="00EF5C8E" w:rsidRDefault="00EF5C8E" w:rsidP="00EF5C8E"/>
    <w:p w14:paraId="1D24C0D8" w14:textId="2E1A38FE" w:rsidR="001A79C1" w:rsidRPr="00C0726E" w:rsidRDefault="00C0726E" w:rsidP="001A79C1">
      <w:pPr>
        <w:rPr>
          <w:b/>
          <w:bCs/>
        </w:rPr>
      </w:pPr>
      <w:r w:rsidRPr="00C0726E">
        <w:rPr>
          <w:rFonts w:eastAsia="MS Mincho"/>
          <w:b/>
          <w:bCs/>
          <w:i/>
          <w:iCs/>
        </w:rPr>
        <w:t>Observation 6: For Chapter6 and Chapter7 transmitter and receiver characteristics, there is no separate test configurations and test procedures for cases of NRDC between FR1 and FR2, except 6.2B.5 (Configured output power for NR-DC)</w:t>
      </w:r>
      <w:r w:rsidR="00623FFB">
        <w:rPr>
          <w:b/>
          <w:bCs/>
        </w:rPr>
        <w:t xml:space="preserve">. This issue </w:t>
      </w:r>
      <w:r w:rsidR="001A79C1" w:rsidRPr="00C0726E">
        <w:rPr>
          <w:b/>
          <w:bCs/>
        </w:rPr>
        <w:t xml:space="preserve">is clarified by RAN4 and RAN5 CRs ([1] and [2]) through modifying the general sections of Chapter 6 and Chapter 7 with the following statement:  </w:t>
      </w:r>
    </w:p>
    <w:p w14:paraId="59D6B684" w14:textId="77777777" w:rsidR="001A79C1" w:rsidRDefault="001A79C1" w:rsidP="00F52BCF"/>
    <w:p w14:paraId="373AE992" w14:textId="0BB79361" w:rsidR="00787105" w:rsidRDefault="00787105" w:rsidP="00F52BCF">
      <w:r>
        <w:rPr>
          <w:noProof/>
        </w:rPr>
        <w:drawing>
          <wp:inline distT="0" distB="0" distL="0" distR="0" wp14:anchorId="613CBA02" wp14:editId="6105D8A6">
            <wp:extent cx="6109970" cy="1184275"/>
            <wp:effectExtent l="133350" t="114300" r="119380" b="1682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09970" cy="11842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0D92A78" w14:textId="27291D7D" w:rsidR="00787105" w:rsidRDefault="00787105" w:rsidP="00F52BCF">
      <w:r>
        <w:rPr>
          <w:noProof/>
        </w:rPr>
        <w:drawing>
          <wp:inline distT="0" distB="0" distL="0" distR="0" wp14:anchorId="3C1E6837" wp14:editId="0FC98399">
            <wp:extent cx="6109970" cy="1184275"/>
            <wp:effectExtent l="133350" t="114300" r="119380" b="1682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9970" cy="11842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406E4A1B" w14:textId="77777777" w:rsidR="00623FFB" w:rsidRDefault="00623FFB" w:rsidP="00791D4B">
      <w:pPr>
        <w:rPr>
          <w:b/>
          <w:bCs/>
        </w:rPr>
      </w:pPr>
    </w:p>
    <w:p w14:paraId="745C884C" w14:textId="00C35EA9" w:rsidR="00791D4B" w:rsidRDefault="00791D4B" w:rsidP="00791D4B">
      <w:pPr>
        <w:rPr>
          <w:b/>
          <w:bCs/>
        </w:rPr>
      </w:pPr>
      <w:r w:rsidRPr="00FB4E78">
        <w:rPr>
          <w:b/>
          <w:bCs/>
        </w:rPr>
        <w:t>Proposal 1:</w:t>
      </w:r>
      <w:r w:rsidR="00623FFB">
        <w:rPr>
          <w:rFonts w:eastAsia="MS Mincho"/>
          <w:b/>
          <w:bCs/>
          <w:iCs/>
        </w:rPr>
        <w:t xml:space="preserve"> Complete </w:t>
      </w:r>
      <w:r w:rsidR="00623FFB" w:rsidRPr="00623FFB">
        <w:rPr>
          <w:rFonts w:eastAsia="MS Mincho"/>
          <w:b/>
          <w:bCs/>
          <w:iCs/>
        </w:rPr>
        <w:t>Table 5.2A.1-1: Band combinations for inter-band NR CA between FR1 and FR2</w:t>
      </w:r>
      <w:r w:rsidR="00623FFB">
        <w:rPr>
          <w:b/>
          <w:bCs/>
        </w:rPr>
        <w:t>, with operator completed band combos</w:t>
      </w:r>
    </w:p>
    <w:p w14:paraId="62132573" w14:textId="1390A57E" w:rsidR="00623FFB" w:rsidRDefault="00623FFB" w:rsidP="00791D4B">
      <w:pPr>
        <w:rPr>
          <w:b/>
          <w:bCs/>
        </w:rPr>
      </w:pPr>
    </w:p>
    <w:p w14:paraId="669D1C18" w14:textId="0F58951B" w:rsidR="00623FFB" w:rsidRDefault="00623FFB" w:rsidP="00623FFB">
      <w:pPr>
        <w:rPr>
          <w:b/>
          <w:bCs/>
        </w:rPr>
      </w:pPr>
      <w:r w:rsidRPr="00FB4E78">
        <w:rPr>
          <w:b/>
          <w:bCs/>
        </w:rPr>
        <w:t xml:space="preserve">Proposal </w:t>
      </w:r>
      <w:r>
        <w:rPr>
          <w:b/>
          <w:bCs/>
        </w:rPr>
        <w:t>2</w:t>
      </w:r>
      <w:r w:rsidRPr="00FB4E78">
        <w:rPr>
          <w:b/>
          <w:bCs/>
        </w:rPr>
        <w:t>:</w:t>
      </w:r>
      <w:r>
        <w:rPr>
          <w:rFonts w:eastAsia="MS Mincho"/>
          <w:b/>
          <w:bCs/>
          <w:iCs/>
        </w:rPr>
        <w:t xml:space="preserve"> Complete </w:t>
      </w:r>
      <w:r w:rsidRPr="00623FFB">
        <w:rPr>
          <w:rFonts w:eastAsia="MS Mincho"/>
          <w:b/>
          <w:bCs/>
          <w:iCs/>
        </w:rPr>
        <w:t>Table 5.5A.1-1: Inter-band CA configurations and bandwidth combinations sets between FR1 and FR2 (two bands)</w:t>
      </w:r>
      <w:r>
        <w:rPr>
          <w:b/>
          <w:bCs/>
        </w:rPr>
        <w:t>, with operator completed band combos</w:t>
      </w:r>
    </w:p>
    <w:p w14:paraId="39391EEA" w14:textId="5F63BAD1" w:rsidR="00C12A6C" w:rsidRDefault="00C12A6C" w:rsidP="00791D4B">
      <w:pPr>
        <w:rPr>
          <w:b/>
          <w:bCs/>
        </w:rPr>
      </w:pPr>
    </w:p>
    <w:p w14:paraId="1002CC87" w14:textId="114BD04B" w:rsidR="00C12A6C" w:rsidRDefault="00C12A6C" w:rsidP="00791D4B">
      <w:pPr>
        <w:rPr>
          <w:b/>
          <w:bCs/>
        </w:rPr>
      </w:pPr>
      <w:r w:rsidRPr="00FB4E78">
        <w:rPr>
          <w:b/>
          <w:bCs/>
        </w:rPr>
        <w:t xml:space="preserve">Proposal </w:t>
      </w:r>
      <w:r w:rsidR="00623FFB">
        <w:rPr>
          <w:b/>
          <w:bCs/>
        </w:rPr>
        <w:t>3</w:t>
      </w:r>
      <w:r>
        <w:rPr>
          <w:b/>
          <w:bCs/>
        </w:rPr>
        <w:t xml:space="preserve">: </w:t>
      </w:r>
      <w:r w:rsidR="00623FFB">
        <w:rPr>
          <w:rFonts w:eastAsia="MS Mincho"/>
          <w:b/>
          <w:bCs/>
          <w:iCs/>
        </w:rPr>
        <w:t xml:space="preserve">Complete </w:t>
      </w:r>
      <w:r w:rsidR="00623FFB" w:rsidRPr="00623FFB">
        <w:rPr>
          <w:rFonts w:eastAsia="MS Mincho"/>
          <w:b/>
          <w:bCs/>
          <w:iCs/>
        </w:rPr>
        <w:t>Table 5.5B.7-1: Inter-band NR-DC configurations between FR1 and FR2 (two bands)</w:t>
      </w:r>
      <w:r w:rsidR="00623FFB">
        <w:rPr>
          <w:b/>
          <w:bCs/>
        </w:rPr>
        <w:t>, with operator completed band combos</w:t>
      </w:r>
    </w:p>
    <w:p w14:paraId="61480413" w14:textId="22D12B04" w:rsidR="00791D4B" w:rsidRDefault="00791D4B" w:rsidP="00791D4B">
      <w:pPr>
        <w:rPr>
          <w:b/>
          <w:bCs/>
        </w:rPr>
      </w:pPr>
    </w:p>
    <w:p w14:paraId="34EEF599" w14:textId="77777777" w:rsidR="00B40A7D" w:rsidRDefault="00A872A0" w:rsidP="00C12A6C">
      <w:pPr>
        <w:rPr>
          <w:b/>
          <w:bCs/>
        </w:rPr>
      </w:pPr>
      <w:r>
        <w:rPr>
          <w:b/>
          <w:bCs/>
        </w:rPr>
        <w:t xml:space="preserve">Proposal </w:t>
      </w:r>
      <w:r w:rsidR="00623FFB">
        <w:rPr>
          <w:b/>
          <w:bCs/>
        </w:rPr>
        <w:t>4</w:t>
      </w:r>
      <w:r w:rsidR="00BC1384">
        <w:rPr>
          <w:b/>
          <w:bCs/>
        </w:rPr>
        <w:t xml:space="preserve">: </w:t>
      </w:r>
      <w:r w:rsidR="00B40A7D">
        <w:rPr>
          <w:b/>
          <w:bCs/>
        </w:rPr>
        <w:t>Include the following Note to general sections of 6.1 and 7.1 to further clarify the NRDC between FR1 FR2 test requirements:</w:t>
      </w:r>
    </w:p>
    <w:p w14:paraId="62D99454" w14:textId="13A9AC94" w:rsidR="0034036E" w:rsidRPr="000A3E87" w:rsidRDefault="00B40A7D" w:rsidP="000A3E87">
      <w:pPr>
        <w:rPr>
          <w:b/>
          <w:bCs/>
        </w:rPr>
      </w:pPr>
      <w:r>
        <w:rPr>
          <w:b/>
          <w:bCs/>
        </w:rPr>
        <w:br/>
        <w:t xml:space="preserve">Note: </w:t>
      </w:r>
      <w:r w:rsidR="00BC1384">
        <w:rPr>
          <w:b/>
          <w:bCs/>
        </w:rPr>
        <w:t xml:space="preserve">For NRDC between FR1 FR2, no test cases are specified. The related tests are performed for FR1 and FR2 separately and independently. Follow </w:t>
      </w:r>
      <w:r>
        <w:rPr>
          <w:b/>
          <w:bCs/>
        </w:rPr>
        <w:t xml:space="preserve">the </w:t>
      </w:r>
      <w:r w:rsidR="00BC1384" w:rsidRPr="00BC1384">
        <w:rPr>
          <w:b/>
          <w:bCs/>
        </w:rPr>
        <w:t xml:space="preserve">TS 38.521-1 </w:t>
      </w:r>
      <w:r>
        <w:rPr>
          <w:b/>
          <w:bCs/>
        </w:rPr>
        <w:t xml:space="preserve">to test the corresponding </w:t>
      </w:r>
      <w:r w:rsidR="000A3E87">
        <w:rPr>
          <w:b/>
          <w:bCs/>
        </w:rPr>
        <w:t xml:space="preserve">procedures for </w:t>
      </w:r>
      <w:r w:rsidR="00BC1384">
        <w:rPr>
          <w:b/>
          <w:bCs/>
        </w:rPr>
        <w:t xml:space="preserve">FR1 </w:t>
      </w:r>
      <w:r>
        <w:rPr>
          <w:b/>
          <w:bCs/>
        </w:rPr>
        <w:t xml:space="preserve">part </w:t>
      </w:r>
      <w:r w:rsidR="00BC1384" w:rsidRPr="00BC1384">
        <w:rPr>
          <w:b/>
          <w:bCs/>
        </w:rPr>
        <w:t xml:space="preserve">and </w:t>
      </w:r>
      <w:r w:rsidR="009E2E62">
        <w:rPr>
          <w:b/>
          <w:bCs/>
        </w:rPr>
        <w:t xml:space="preserve">TS </w:t>
      </w:r>
      <w:r w:rsidR="00BC1384" w:rsidRPr="00BC1384">
        <w:rPr>
          <w:b/>
          <w:bCs/>
        </w:rPr>
        <w:t xml:space="preserve">38.521-2 </w:t>
      </w:r>
      <w:r>
        <w:rPr>
          <w:b/>
          <w:bCs/>
        </w:rPr>
        <w:t xml:space="preserve">to test the corresponding </w:t>
      </w:r>
      <w:r w:rsidR="000A3E87">
        <w:rPr>
          <w:b/>
          <w:bCs/>
        </w:rPr>
        <w:t xml:space="preserve">procedures for </w:t>
      </w:r>
      <w:r>
        <w:rPr>
          <w:b/>
          <w:bCs/>
        </w:rPr>
        <w:t>FR2 part.</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3A71C2FF" w14:textId="28E80016" w:rsidR="00B40A7D" w:rsidRDefault="009E2E62" w:rsidP="00B40A7D">
      <w:pPr>
        <w:rPr>
          <w:rFonts w:eastAsia="MS Mincho"/>
          <w:b/>
          <w:bCs/>
          <w:i/>
          <w:iCs/>
        </w:rPr>
      </w:pPr>
      <w:r w:rsidRPr="0006102C">
        <w:rPr>
          <w:rFonts w:eastAsia="MS Mincho"/>
          <w:b/>
          <w:bCs/>
          <w:i/>
          <w:iCs/>
        </w:rPr>
        <w:t>Observation 1</w:t>
      </w:r>
      <w:r>
        <w:rPr>
          <w:rFonts w:eastAsia="MS Mincho"/>
          <w:b/>
          <w:bCs/>
          <w:i/>
          <w:iCs/>
        </w:rPr>
        <w:t>: In section 5.2 (</w:t>
      </w:r>
      <w:r w:rsidRPr="00D54D30">
        <w:rPr>
          <w:rFonts w:eastAsia="MS Mincho"/>
          <w:b/>
          <w:bCs/>
          <w:i/>
          <w:iCs/>
        </w:rPr>
        <w:t>Operating bands for CA</w:t>
      </w:r>
      <w:r>
        <w:rPr>
          <w:rFonts w:eastAsia="MS Mincho"/>
          <w:b/>
          <w:bCs/>
          <w:i/>
          <w:iCs/>
        </w:rPr>
        <w:t xml:space="preserve">), </w:t>
      </w:r>
      <w:r w:rsidRPr="00D54D30">
        <w:rPr>
          <w:rFonts w:eastAsia="MS Mincho"/>
          <w:b/>
          <w:bCs/>
          <w:i/>
          <w:iCs/>
        </w:rPr>
        <w:t>Table 5.2A.1-1: Band combinations for inter-band NR CA between FR1 and FR2</w:t>
      </w:r>
      <w:r>
        <w:rPr>
          <w:rFonts w:eastAsia="MS Mincho"/>
          <w:b/>
          <w:bCs/>
          <w:i/>
          <w:iCs/>
        </w:rPr>
        <w:t>, is empty with the following editor’s note, while PRD21 has a list of completed NRDC between FR1 FR2 band combos which are operated in the current network</w:t>
      </w:r>
    </w:p>
    <w:p w14:paraId="082EE6EC" w14:textId="77777777" w:rsidR="00C52AD9" w:rsidRDefault="00C52AD9" w:rsidP="00C52AD9">
      <w:pPr>
        <w:shd w:val="clear" w:color="auto" w:fill="FFFFFF"/>
        <w:rPr>
          <w:rFonts w:eastAsia="MS Mincho"/>
          <w:b/>
          <w:bCs/>
          <w:i/>
          <w:iCs/>
        </w:rPr>
      </w:pPr>
    </w:p>
    <w:p w14:paraId="37C9DA8D" w14:textId="77777777" w:rsidR="009E2E62" w:rsidRDefault="009E2E62" w:rsidP="009E2E62">
      <w:pPr>
        <w:rPr>
          <w:rFonts w:eastAsia="MS Mincho"/>
          <w:b/>
          <w:bCs/>
          <w:i/>
          <w:iCs/>
        </w:rPr>
      </w:pPr>
      <w:r w:rsidRPr="0006102C">
        <w:rPr>
          <w:rFonts w:eastAsia="MS Mincho"/>
          <w:b/>
          <w:bCs/>
          <w:i/>
          <w:iCs/>
        </w:rPr>
        <w:t xml:space="preserve">Observation </w:t>
      </w:r>
      <w:r>
        <w:rPr>
          <w:rFonts w:eastAsia="MS Mincho"/>
          <w:b/>
          <w:bCs/>
          <w:i/>
          <w:iCs/>
        </w:rPr>
        <w:t>2: In section 5.5A.1 (</w:t>
      </w:r>
      <w:r w:rsidRPr="00D03B7E">
        <w:rPr>
          <w:rFonts w:eastAsia="MS Mincho"/>
          <w:b/>
          <w:bCs/>
          <w:i/>
          <w:iCs/>
        </w:rPr>
        <w:t>Configuration for CA</w:t>
      </w:r>
      <w:r>
        <w:rPr>
          <w:rFonts w:eastAsia="MS Mincho"/>
          <w:b/>
          <w:bCs/>
          <w:i/>
          <w:iCs/>
        </w:rPr>
        <w:t xml:space="preserve">), </w:t>
      </w:r>
      <w:r w:rsidRPr="00D03B7E">
        <w:rPr>
          <w:rFonts w:eastAsia="MS Mincho"/>
          <w:b/>
          <w:bCs/>
          <w:i/>
          <w:iCs/>
        </w:rPr>
        <w:t>Table 5.5A.1-1: Inter-band CA configurations and bandwidth combinations sets between FR1 and FR2 (two bands)</w:t>
      </w:r>
      <w:r>
        <w:rPr>
          <w:rFonts w:eastAsia="MS Mincho"/>
          <w:b/>
          <w:bCs/>
          <w:i/>
          <w:iCs/>
        </w:rPr>
        <w:t>, is empty with the following editor’s note, while PRD21 has a list of completed NRCA between FR1 FR2 band combos which are operated in the current network</w:t>
      </w:r>
    </w:p>
    <w:p w14:paraId="4EA09284" w14:textId="0121AE1E" w:rsidR="00B40A7D" w:rsidRDefault="00B40A7D" w:rsidP="00B40A7D">
      <w:pPr>
        <w:rPr>
          <w:rFonts w:eastAsia="MS Mincho"/>
          <w:b/>
          <w:bCs/>
          <w:i/>
          <w:iCs/>
        </w:rPr>
      </w:pPr>
    </w:p>
    <w:p w14:paraId="398F63D8" w14:textId="77777777" w:rsidR="009E2E62" w:rsidRDefault="009E2E62" w:rsidP="009E2E62">
      <w:pPr>
        <w:rPr>
          <w:rFonts w:eastAsia="MS Mincho"/>
          <w:b/>
          <w:bCs/>
          <w:i/>
          <w:iCs/>
        </w:rPr>
      </w:pPr>
      <w:r w:rsidRPr="0006102C">
        <w:rPr>
          <w:rFonts w:eastAsia="MS Mincho"/>
          <w:b/>
          <w:bCs/>
          <w:i/>
          <w:iCs/>
        </w:rPr>
        <w:t xml:space="preserve">Observation </w:t>
      </w:r>
      <w:r>
        <w:rPr>
          <w:rFonts w:eastAsia="MS Mincho"/>
          <w:b/>
          <w:bCs/>
          <w:i/>
          <w:iCs/>
        </w:rPr>
        <w:t>3: In section 5.5B (configuration for DC), the subsection 5.5B.1 refers to section 5.5A.1 of NR CA configurations between FR1 FR2, which has an empty table (see Observation 2)</w:t>
      </w:r>
    </w:p>
    <w:p w14:paraId="4CF61E13" w14:textId="77777777" w:rsidR="009E2E62" w:rsidRDefault="009E2E62" w:rsidP="009E2E62">
      <w:pPr>
        <w:rPr>
          <w:rFonts w:eastAsia="MS Mincho"/>
          <w:b/>
          <w:bCs/>
          <w:i/>
          <w:iCs/>
        </w:rPr>
      </w:pPr>
    </w:p>
    <w:p w14:paraId="18EC991E" w14:textId="77777777" w:rsidR="009E2E62" w:rsidRDefault="009E2E62" w:rsidP="009E2E62">
      <w:pPr>
        <w:rPr>
          <w:rFonts w:eastAsia="MS Mincho"/>
          <w:b/>
          <w:bCs/>
          <w:i/>
          <w:iCs/>
        </w:rPr>
      </w:pPr>
      <w:r w:rsidRPr="0006102C">
        <w:rPr>
          <w:rFonts w:eastAsia="MS Mincho"/>
          <w:b/>
          <w:bCs/>
          <w:i/>
          <w:iCs/>
        </w:rPr>
        <w:t xml:space="preserve">Observation </w:t>
      </w:r>
      <w:r>
        <w:rPr>
          <w:rFonts w:eastAsia="MS Mincho"/>
          <w:b/>
          <w:bCs/>
          <w:i/>
          <w:iCs/>
        </w:rPr>
        <w:t>4: In section 5.5B (configuration for DC), the subsection 5.5B.7 refers to section 5.5A.1 of NR CA configurations between FR1 FR2, which has an empty table (see Observation 2)</w:t>
      </w:r>
    </w:p>
    <w:p w14:paraId="47BAE20C" w14:textId="77777777" w:rsidR="009E2E62" w:rsidRDefault="009E2E62" w:rsidP="009E2E62">
      <w:pPr>
        <w:rPr>
          <w:rFonts w:eastAsia="MS Mincho"/>
          <w:b/>
          <w:bCs/>
          <w:i/>
          <w:iCs/>
        </w:rPr>
      </w:pPr>
    </w:p>
    <w:p w14:paraId="677ED181" w14:textId="77777777" w:rsidR="009E2E62" w:rsidRDefault="009E2E62" w:rsidP="009E2E62">
      <w:r w:rsidRPr="0006102C">
        <w:rPr>
          <w:rFonts w:eastAsia="MS Mincho"/>
          <w:b/>
          <w:bCs/>
          <w:i/>
          <w:iCs/>
        </w:rPr>
        <w:t xml:space="preserve">Observation </w:t>
      </w:r>
      <w:r>
        <w:rPr>
          <w:rFonts w:eastAsia="MS Mincho"/>
          <w:b/>
          <w:bCs/>
          <w:i/>
          <w:iCs/>
        </w:rPr>
        <w:t xml:space="preserve">5: In section 5.5B (configuration for DC) subsection 5.5B.7, </w:t>
      </w:r>
      <w:r w:rsidRPr="00F04C49">
        <w:rPr>
          <w:rFonts w:eastAsia="MS Mincho"/>
          <w:b/>
          <w:bCs/>
          <w:i/>
          <w:iCs/>
        </w:rPr>
        <w:t>Table 5.5B.7-1: Inter-band NR-DC configurations between FR1 and FR2 (two bands)</w:t>
      </w:r>
      <w:r>
        <w:rPr>
          <w:rFonts w:eastAsia="MS Mincho"/>
          <w:b/>
          <w:bCs/>
          <w:i/>
          <w:iCs/>
        </w:rPr>
        <w:t xml:space="preserve">, </w:t>
      </w:r>
      <w:r w:rsidRPr="00F04C49">
        <w:rPr>
          <w:rFonts w:eastAsia="MS Mincho"/>
          <w:b/>
          <w:bCs/>
          <w:i/>
          <w:iCs/>
        </w:rPr>
        <w:t>is empty with the following editor’s note, while PRD21 has</w:t>
      </w:r>
      <w:r>
        <w:rPr>
          <w:rFonts w:eastAsia="MS Mincho"/>
          <w:b/>
          <w:bCs/>
          <w:i/>
          <w:iCs/>
        </w:rPr>
        <w:t xml:space="preserve"> a list of</w:t>
      </w:r>
      <w:r w:rsidRPr="00F04C49">
        <w:rPr>
          <w:rFonts w:eastAsia="MS Mincho"/>
          <w:b/>
          <w:bCs/>
          <w:i/>
          <w:iCs/>
        </w:rPr>
        <w:t xml:space="preserve"> completed NR</w:t>
      </w:r>
      <w:r>
        <w:rPr>
          <w:rFonts w:eastAsia="MS Mincho"/>
          <w:b/>
          <w:bCs/>
          <w:i/>
          <w:iCs/>
        </w:rPr>
        <w:t>DC</w:t>
      </w:r>
      <w:r w:rsidRPr="00F04C49">
        <w:rPr>
          <w:rFonts w:eastAsia="MS Mincho"/>
          <w:b/>
          <w:bCs/>
          <w:i/>
          <w:iCs/>
        </w:rPr>
        <w:t xml:space="preserve"> between FR1 FR2 band combos which are operated in the current network</w:t>
      </w:r>
    </w:p>
    <w:p w14:paraId="17C369EF" w14:textId="77777777" w:rsidR="008D3CDD" w:rsidRDefault="008D3CDD" w:rsidP="008D3CDD">
      <w:pPr>
        <w:rPr>
          <w:rFonts w:eastAsia="MS Mincho"/>
          <w:b/>
          <w:bCs/>
          <w:i/>
          <w:iCs/>
          <w:u w:val="single"/>
        </w:rPr>
      </w:pPr>
    </w:p>
    <w:p w14:paraId="3720E5B3" w14:textId="77777777" w:rsidR="009E2E62" w:rsidRDefault="009E2E62" w:rsidP="009E2E62">
      <w:pPr>
        <w:rPr>
          <w:b/>
          <w:bCs/>
        </w:rPr>
      </w:pPr>
      <w:r w:rsidRPr="00FB4E78">
        <w:rPr>
          <w:b/>
          <w:bCs/>
        </w:rPr>
        <w:t>Proposal 1:</w:t>
      </w:r>
      <w:r>
        <w:rPr>
          <w:rFonts w:eastAsia="MS Mincho"/>
          <w:b/>
          <w:bCs/>
          <w:iCs/>
        </w:rPr>
        <w:t xml:space="preserve"> Complete </w:t>
      </w:r>
      <w:r w:rsidRPr="00623FFB">
        <w:rPr>
          <w:rFonts w:eastAsia="MS Mincho"/>
          <w:b/>
          <w:bCs/>
          <w:iCs/>
        </w:rPr>
        <w:t>Table 5.2A.1-1: Band combinations for inter-band NR CA between FR1 and FR2</w:t>
      </w:r>
      <w:r>
        <w:rPr>
          <w:b/>
          <w:bCs/>
        </w:rPr>
        <w:t>, with operator completed band combos</w:t>
      </w:r>
    </w:p>
    <w:p w14:paraId="0418E510" w14:textId="77777777" w:rsidR="009E2E62" w:rsidRDefault="009E2E62" w:rsidP="009E2E62">
      <w:pPr>
        <w:rPr>
          <w:b/>
          <w:bCs/>
        </w:rPr>
      </w:pPr>
    </w:p>
    <w:p w14:paraId="4A1852E8" w14:textId="77777777" w:rsidR="009E2E62" w:rsidRDefault="009E2E62" w:rsidP="009E2E62">
      <w:pPr>
        <w:rPr>
          <w:b/>
          <w:bCs/>
        </w:rPr>
      </w:pPr>
      <w:r w:rsidRPr="00FB4E78">
        <w:rPr>
          <w:b/>
          <w:bCs/>
        </w:rPr>
        <w:t xml:space="preserve">Proposal </w:t>
      </w:r>
      <w:r>
        <w:rPr>
          <w:b/>
          <w:bCs/>
        </w:rPr>
        <w:t>2</w:t>
      </w:r>
      <w:r w:rsidRPr="00FB4E78">
        <w:rPr>
          <w:b/>
          <w:bCs/>
        </w:rPr>
        <w:t>:</w:t>
      </w:r>
      <w:r>
        <w:rPr>
          <w:rFonts w:eastAsia="MS Mincho"/>
          <w:b/>
          <w:bCs/>
          <w:iCs/>
        </w:rPr>
        <w:t xml:space="preserve"> Complete </w:t>
      </w:r>
      <w:r w:rsidRPr="00623FFB">
        <w:rPr>
          <w:rFonts w:eastAsia="MS Mincho"/>
          <w:b/>
          <w:bCs/>
          <w:iCs/>
        </w:rPr>
        <w:t>Table 5.5A.1-1: Inter-band CA configurations and bandwidth combinations sets between FR1 and FR2 (two bands)</w:t>
      </w:r>
      <w:r>
        <w:rPr>
          <w:b/>
          <w:bCs/>
        </w:rPr>
        <w:t>, with operator completed band combos</w:t>
      </w:r>
    </w:p>
    <w:p w14:paraId="22315BAF" w14:textId="77777777" w:rsidR="009E2E62" w:rsidRDefault="009E2E62" w:rsidP="009E2E62">
      <w:pPr>
        <w:rPr>
          <w:b/>
          <w:bCs/>
        </w:rPr>
      </w:pPr>
    </w:p>
    <w:p w14:paraId="5A971466" w14:textId="77777777" w:rsidR="009E2E62" w:rsidRDefault="009E2E62" w:rsidP="009E2E62">
      <w:pPr>
        <w:rPr>
          <w:b/>
          <w:bCs/>
        </w:rPr>
      </w:pPr>
      <w:r w:rsidRPr="00FB4E78">
        <w:rPr>
          <w:b/>
          <w:bCs/>
        </w:rPr>
        <w:t xml:space="preserve">Proposal </w:t>
      </w:r>
      <w:r>
        <w:rPr>
          <w:b/>
          <w:bCs/>
        </w:rPr>
        <w:t xml:space="preserve">3: </w:t>
      </w:r>
      <w:r>
        <w:rPr>
          <w:rFonts w:eastAsia="MS Mincho"/>
          <w:b/>
          <w:bCs/>
          <w:iCs/>
        </w:rPr>
        <w:t xml:space="preserve">Complete </w:t>
      </w:r>
      <w:r w:rsidRPr="00623FFB">
        <w:rPr>
          <w:rFonts w:eastAsia="MS Mincho"/>
          <w:b/>
          <w:bCs/>
          <w:iCs/>
        </w:rPr>
        <w:t>Table 5.5B.7-1: Inter-band NR-DC configurations between FR1 and FR2 (two bands)</w:t>
      </w:r>
      <w:r>
        <w:rPr>
          <w:b/>
          <w:bCs/>
        </w:rPr>
        <w:t>, with operator completed band combos</w:t>
      </w:r>
    </w:p>
    <w:p w14:paraId="70F6865C" w14:textId="77777777" w:rsidR="009E2E62" w:rsidRDefault="009E2E62" w:rsidP="009E2E62">
      <w:pPr>
        <w:rPr>
          <w:b/>
          <w:bCs/>
        </w:rPr>
      </w:pPr>
    </w:p>
    <w:p w14:paraId="3C8D7A8C" w14:textId="77777777" w:rsidR="009E2E62" w:rsidRDefault="009E2E62" w:rsidP="009E2E62">
      <w:pPr>
        <w:rPr>
          <w:b/>
          <w:bCs/>
        </w:rPr>
      </w:pPr>
      <w:r>
        <w:rPr>
          <w:b/>
          <w:bCs/>
        </w:rPr>
        <w:t>Proposal 4: Include the following Note to general sections of 6.1 and 7.1 to further clarify the NRDC between FR1 FR2 test requirements:</w:t>
      </w:r>
    </w:p>
    <w:p w14:paraId="65BA808C" w14:textId="619AD3AE" w:rsidR="00B40A7D" w:rsidRDefault="009E2E62" w:rsidP="00B40A7D">
      <w:pPr>
        <w:rPr>
          <w:b/>
          <w:bCs/>
        </w:rPr>
      </w:pPr>
      <w:r>
        <w:rPr>
          <w:b/>
          <w:bCs/>
        </w:rPr>
        <w:br/>
        <w:t xml:space="preserve">Note: For NRDC between FR1 FR2, no test cases are specified. The related tests are performed for FR1 and FR2 separately and independently. Follow the </w:t>
      </w:r>
      <w:r w:rsidRPr="00BC1384">
        <w:rPr>
          <w:b/>
          <w:bCs/>
        </w:rPr>
        <w:t xml:space="preserve">TS 38.521-1 </w:t>
      </w:r>
      <w:r>
        <w:rPr>
          <w:b/>
          <w:bCs/>
        </w:rPr>
        <w:t xml:space="preserve">to test the corresponding procedures for FR1 part </w:t>
      </w:r>
      <w:r w:rsidRPr="00BC1384">
        <w:rPr>
          <w:b/>
          <w:bCs/>
        </w:rPr>
        <w:t xml:space="preserve">and </w:t>
      </w:r>
      <w:r>
        <w:rPr>
          <w:b/>
          <w:bCs/>
        </w:rPr>
        <w:t xml:space="preserve">TS </w:t>
      </w:r>
      <w:r w:rsidRPr="00BC1384">
        <w:rPr>
          <w:b/>
          <w:bCs/>
        </w:rPr>
        <w:t xml:space="preserve">38.521-2 </w:t>
      </w:r>
      <w:r>
        <w:rPr>
          <w:b/>
          <w:bCs/>
        </w:rPr>
        <w:t>to test the corresponding procedures for FR2 part.</w:t>
      </w:r>
    </w:p>
    <w:p w14:paraId="5726807E" w14:textId="00729D6B" w:rsidR="00662249" w:rsidRDefault="00662249" w:rsidP="00C52AD9">
      <w:pPr>
        <w:spacing w:before="120" w:after="120"/>
        <w:rPr>
          <w:rFonts w:eastAsia="MS Mincho"/>
          <w:iCs/>
        </w:rPr>
      </w:pPr>
      <w:r w:rsidRPr="007C6851">
        <w:rPr>
          <w:rFonts w:eastAsia="MS Mincho"/>
          <w:iCs/>
        </w:rPr>
        <w:t>CR for proposal 1</w:t>
      </w:r>
      <w:r w:rsidR="00B40A7D">
        <w:rPr>
          <w:rFonts w:eastAsia="MS Mincho"/>
          <w:iCs/>
        </w:rPr>
        <w:t xml:space="preserve">, 2, 3: </w:t>
      </w:r>
      <w:r w:rsidR="00CB67D4" w:rsidRPr="00CB67D4">
        <w:rPr>
          <w:rFonts w:eastAsia="MS Mincho"/>
          <w:iCs/>
        </w:rPr>
        <w:t>R5-252415</w:t>
      </w:r>
    </w:p>
    <w:p w14:paraId="5C56FF3F" w14:textId="480DC832" w:rsidR="00662249" w:rsidRPr="00702CDC" w:rsidRDefault="00B40A7D" w:rsidP="00C52AD9">
      <w:pPr>
        <w:spacing w:before="120" w:after="120"/>
        <w:rPr>
          <w:rFonts w:eastAsia="MS Mincho"/>
          <w:iCs/>
        </w:rPr>
      </w:pPr>
      <w:r w:rsidRPr="007C6851">
        <w:rPr>
          <w:rFonts w:eastAsia="MS Mincho"/>
          <w:iCs/>
        </w:rPr>
        <w:t>CR</w:t>
      </w:r>
      <w:r w:rsidR="009E2E62">
        <w:rPr>
          <w:rFonts w:eastAsia="MS Mincho"/>
          <w:iCs/>
        </w:rPr>
        <w:t>s</w:t>
      </w:r>
      <w:r w:rsidRPr="007C6851">
        <w:rPr>
          <w:rFonts w:eastAsia="MS Mincho"/>
          <w:iCs/>
        </w:rPr>
        <w:t xml:space="preserve"> for proposal </w:t>
      </w:r>
      <w:r w:rsidR="00CB67D4">
        <w:rPr>
          <w:rFonts w:eastAsia="MS Mincho"/>
          <w:iCs/>
        </w:rPr>
        <w:t>4</w:t>
      </w:r>
      <w:r>
        <w:rPr>
          <w:rFonts w:eastAsia="MS Mincho"/>
          <w:iCs/>
        </w:rPr>
        <w:t xml:space="preserve">: </w:t>
      </w:r>
      <w:r w:rsidR="00CB67D4" w:rsidRPr="00CB67D4">
        <w:rPr>
          <w:rFonts w:eastAsia="MS Mincho"/>
          <w:iCs/>
        </w:rPr>
        <w:t>R5-252418</w:t>
      </w:r>
      <w:r w:rsidR="00CB67D4">
        <w:rPr>
          <w:rFonts w:eastAsia="MS Mincho"/>
          <w:iCs/>
        </w:rPr>
        <w:t xml:space="preserve">, </w:t>
      </w:r>
      <w:r w:rsidR="00CB67D4" w:rsidRPr="00CB67D4">
        <w:rPr>
          <w:rFonts w:eastAsia="MS Mincho"/>
          <w:iCs/>
        </w:rPr>
        <w:t>R5-25241</w:t>
      </w:r>
      <w:r w:rsidR="00CB67D4">
        <w:rPr>
          <w:rFonts w:eastAsia="MS Mincho"/>
          <w:iCs/>
        </w:rPr>
        <w:t>9</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3A446820" w14:textId="09184225" w:rsidR="00201387" w:rsidRPr="00201387" w:rsidRDefault="00201387" w:rsidP="00201387">
      <w:pPr>
        <w:pStyle w:val="EX"/>
        <w:numPr>
          <w:ilvl w:val="0"/>
          <w:numId w:val="5"/>
        </w:numPr>
        <w:rPr>
          <w:rFonts w:eastAsia="Calibri"/>
          <w:sz w:val="22"/>
          <w:szCs w:val="22"/>
          <w:lang w:val="en-US"/>
        </w:rPr>
      </w:pPr>
      <w:r w:rsidRPr="00386D96">
        <w:rPr>
          <w:rFonts w:eastAsia="Calibri"/>
          <w:sz w:val="22"/>
          <w:szCs w:val="22"/>
          <w:lang w:val="en-US"/>
        </w:rPr>
        <w:t>R4-2322000</w:t>
      </w:r>
      <w:r>
        <w:rPr>
          <w:rFonts w:eastAsia="Calibri"/>
          <w:sz w:val="22"/>
          <w:szCs w:val="22"/>
          <w:lang w:val="en-US"/>
        </w:rPr>
        <w:t xml:space="preserve"> </w:t>
      </w:r>
      <w:r>
        <w:rPr>
          <w:rFonts w:eastAsia="Calibri"/>
          <w:bCs/>
          <w:sz w:val="22"/>
          <w:szCs w:val="22"/>
        </w:rPr>
        <w:t xml:space="preserve">- </w:t>
      </w:r>
      <w:r w:rsidRPr="00386D96">
        <w:rPr>
          <w:rFonts w:eastAsia="Calibri"/>
          <w:bCs/>
          <w:sz w:val="22"/>
          <w:szCs w:val="22"/>
        </w:rPr>
        <w:t>[</w:t>
      </w:r>
      <w:proofErr w:type="spellStart"/>
      <w:r w:rsidRPr="00386D96">
        <w:rPr>
          <w:rFonts w:eastAsia="Calibri"/>
          <w:bCs/>
          <w:sz w:val="22"/>
          <w:szCs w:val="22"/>
        </w:rPr>
        <w:t>NR_newRAT</w:t>
      </w:r>
      <w:proofErr w:type="spellEnd"/>
      <w:r w:rsidRPr="00386D96">
        <w:rPr>
          <w:rFonts w:eastAsia="Calibri"/>
          <w:bCs/>
          <w:sz w:val="22"/>
          <w:szCs w:val="22"/>
        </w:rPr>
        <w:t>-Core] Clarifications for FR2 testing with NR-DC and NR-CA</w:t>
      </w:r>
      <w:r>
        <w:rPr>
          <w:rFonts w:eastAsia="Calibri"/>
          <w:bCs/>
          <w:sz w:val="22"/>
          <w:szCs w:val="22"/>
        </w:rPr>
        <w:t xml:space="preserve">; </w:t>
      </w:r>
      <w:r w:rsidRPr="00386D96">
        <w:rPr>
          <w:rFonts w:eastAsia="Calibri"/>
          <w:bCs/>
          <w:sz w:val="22"/>
          <w:szCs w:val="22"/>
        </w:rPr>
        <w:t>3GPP TSG-RAN WG4 #109</w:t>
      </w:r>
      <w:r>
        <w:rPr>
          <w:rFonts w:eastAsia="Calibri"/>
          <w:bCs/>
          <w:sz w:val="22"/>
          <w:szCs w:val="22"/>
        </w:rPr>
        <w:t xml:space="preserve">; </w:t>
      </w:r>
      <w:r w:rsidRPr="00386D96">
        <w:rPr>
          <w:rFonts w:eastAsia="Calibri"/>
          <w:bCs/>
          <w:sz w:val="22"/>
          <w:szCs w:val="22"/>
        </w:rPr>
        <w:t>Chicago, United States</w:t>
      </w:r>
      <w:r>
        <w:rPr>
          <w:rFonts w:eastAsia="Calibri"/>
          <w:bCs/>
          <w:sz w:val="22"/>
          <w:szCs w:val="22"/>
        </w:rPr>
        <w:t xml:space="preserve">, </w:t>
      </w:r>
      <w:r w:rsidRPr="00386D96">
        <w:rPr>
          <w:rFonts w:eastAsia="Calibri"/>
          <w:sz w:val="22"/>
          <w:szCs w:val="22"/>
          <w:lang w:val="en-US"/>
        </w:rPr>
        <w:t>13th Nov 2023 - 17th Nov 2023</w:t>
      </w:r>
    </w:p>
    <w:p w14:paraId="13AC06DA" w14:textId="138040D8" w:rsidR="00F06601" w:rsidRPr="00386D96" w:rsidRDefault="000E5241" w:rsidP="00465E6F">
      <w:pPr>
        <w:pStyle w:val="EX"/>
        <w:numPr>
          <w:ilvl w:val="0"/>
          <w:numId w:val="5"/>
        </w:numPr>
        <w:rPr>
          <w:rFonts w:eastAsia="Calibri"/>
          <w:sz w:val="22"/>
          <w:szCs w:val="22"/>
          <w:lang w:val="en-US"/>
        </w:rPr>
      </w:pPr>
      <w:r w:rsidRPr="000E5241">
        <w:rPr>
          <w:rFonts w:eastAsia="Calibri"/>
          <w:bCs/>
          <w:sz w:val="22"/>
          <w:szCs w:val="22"/>
        </w:rPr>
        <w:t>R5-237963</w:t>
      </w:r>
      <w:r w:rsidR="00F06601" w:rsidRPr="00386D96">
        <w:rPr>
          <w:rFonts w:eastAsia="Calibri"/>
          <w:bCs/>
          <w:sz w:val="22"/>
          <w:szCs w:val="22"/>
        </w:rPr>
        <w:t xml:space="preserve"> - </w:t>
      </w:r>
      <w:r w:rsidR="00386D96" w:rsidRPr="00386D96">
        <w:rPr>
          <w:rFonts w:eastAsia="Calibri"/>
          <w:bCs/>
          <w:sz w:val="22"/>
          <w:szCs w:val="22"/>
        </w:rPr>
        <w:t>Clarifications for FR2 testing with NR-DC and NR-CA</w:t>
      </w:r>
      <w:r w:rsidR="00F06601" w:rsidRPr="00386D96">
        <w:rPr>
          <w:rFonts w:eastAsia="Calibri"/>
          <w:bCs/>
          <w:sz w:val="22"/>
          <w:szCs w:val="22"/>
        </w:rPr>
        <w:t xml:space="preserve">; </w:t>
      </w:r>
      <w:r w:rsidR="00386D96" w:rsidRPr="00386D96">
        <w:rPr>
          <w:rFonts w:eastAsia="Calibri"/>
          <w:bCs/>
          <w:sz w:val="22"/>
          <w:szCs w:val="22"/>
        </w:rPr>
        <w:t>3GPP TSG-RAN5 Meeting #101</w:t>
      </w:r>
      <w:r w:rsidR="00F06601" w:rsidRPr="00386D96">
        <w:rPr>
          <w:rFonts w:eastAsia="Calibri"/>
          <w:bCs/>
          <w:sz w:val="22"/>
          <w:szCs w:val="22"/>
        </w:rPr>
        <w:t xml:space="preserve">; </w:t>
      </w:r>
      <w:r w:rsidR="00386D96" w:rsidRPr="00386D96">
        <w:rPr>
          <w:rFonts w:eastAsia="Calibri"/>
          <w:bCs/>
          <w:sz w:val="22"/>
          <w:szCs w:val="22"/>
        </w:rPr>
        <w:t>Chicago, United States</w:t>
      </w:r>
      <w:r w:rsidR="00F06601" w:rsidRPr="00386D96">
        <w:rPr>
          <w:rFonts w:eastAsia="Calibri"/>
          <w:bCs/>
          <w:sz w:val="22"/>
          <w:szCs w:val="22"/>
        </w:rPr>
        <w:t xml:space="preserve">, </w:t>
      </w:r>
      <w:r w:rsidR="00386D96" w:rsidRPr="00386D96">
        <w:rPr>
          <w:rFonts w:eastAsia="Calibri"/>
          <w:sz w:val="22"/>
          <w:szCs w:val="22"/>
          <w:lang w:val="en-US"/>
        </w:rPr>
        <w:t>13th Nov 2023 - 17th Nov 2023</w:t>
      </w:r>
    </w:p>
    <w:p w14:paraId="1367F3E5" w14:textId="758C28F9" w:rsidR="00985AC6" w:rsidRDefault="00F06601" w:rsidP="00465E6F">
      <w:pPr>
        <w:pStyle w:val="EX"/>
        <w:rPr>
          <w:rFonts w:eastAsia="Calibri"/>
          <w:sz w:val="22"/>
          <w:szCs w:val="22"/>
          <w:lang w:val="en-US"/>
        </w:rPr>
      </w:pPr>
      <w:r>
        <w:rPr>
          <w:rFonts w:eastAsia="Calibri"/>
          <w:sz w:val="22"/>
          <w:szCs w:val="22"/>
          <w:lang w:val="en-US"/>
        </w:rPr>
        <w:t>TS 3</w:t>
      </w:r>
      <w:r w:rsidR="00386D96">
        <w:rPr>
          <w:rFonts w:eastAsia="Calibri"/>
          <w:sz w:val="22"/>
          <w:szCs w:val="22"/>
          <w:lang w:val="en-US"/>
        </w:rPr>
        <w:t>8.101-3</w:t>
      </w:r>
      <w:r>
        <w:rPr>
          <w:rFonts w:eastAsia="Calibri"/>
          <w:sz w:val="22"/>
          <w:szCs w:val="22"/>
          <w:lang w:val="en-US"/>
        </w:rPr>
        <w:t xml:space="preserve">: </w:t>
      </w:r>
      <w:r w:rsidR="00465E6F" w:rsidRPr="00465E6F">
        <w:rPr>
          <w:rFonts w:eastAsia="Calibri"/>
          <w:sz w:val="22"/>
          <w:szCs w:val="22"/>
          <w:lang w:val="en-US"/>
        </w:rPr>
        <w:t>3rd Generation Partnership Project;</w:t>
      </w:r>
      <w:r w:rsidR="00465E6F">
        <w:rPr>
          <w:rFonts w:eastAsia="Calibri"/>
          <w:sz w:val="22"/>
          <w:szCs w:val="22"/>
          <w:lang w:val="en-US"/>
        </w:rPr>
        <w:t xml:space="preserve"> </w:t>
      </w:r>
      <w:r w:rsidR="00465E6F" w:rsidRPr="00465E6F">
        <w:rPr>
          <w:rFonts w:eastAsia="Calibri"/>
          <w:sz w:val="22"/>
          <w:szCs w:val="22"/>
          <w:lang w:val="en-US"/>
        </w:rPr>
        <w:t>Technical Specification Group Radio Access Network;</w:t>
      </w:r>
      <w:r w:rsidR="00465E6F">
        <w:rPr>
          <w:rFonts w:eastAsia="Calibri"/>
          <w:sz w:val="22"/>
          <w:szCs w:val="22"/>
          <w:lang w:val="en-US"/>
        </w:rPr>
        <w:t xml:space="preserve"> </w:t>
      </w:r>
      <w:r w:rsidR="00465E6F" w:rsidRPr="00465E6F">
        <w:rPr>
          <w:rFonts w:eastAsia="Calibri"/>
          <w:sz w:val="22"/>
          <w:szCs w:val="22"/>
          <w:lang w:val="en-US"/>
        </w:rPr>
        <w:t>NR;</w:t>
      </w:r>
      <w:r w:rsidR="00465E6F">
        <w:rPr>
          <w:rFonts w:eastAsia="Calibri"/>
          <w:sz w:val="22"/>
          <w:szCs w:val="22"/>
          <w:lang w:val="en-US"/>
        </w:rPr>
        <w:t xml:space="preserve"> </w:t>
      </w:r>
      <w:r w:rsidR="00465E6F" w:rsidRPr="00465E6F">
        <w:rPr>
          <w:rFonts w:eastAsia="Calibri"/>
          <w:sz w:val="22"/>
          <w:szCs w:val="22"/>
          <w:lang w:val="en-US"/>
        </w:rPr>
        <w:t>User Equipment (UE) radio transmission and reception; Part 3: Range 1 and Range 2 Interworking operation with other radios</w:t>
      </w:r>
      <w:r w:rsidR="00EC0B79">
        <w:rPr>
          <w:rFonts w:eastAsia="Calibri"/>
          <w:sz w:val="22"/>
          <w:szCs w:val="22"/>
          <w:lang w:val="en-US"/>
        </w:rPr>
        <w:t xml:space="preserve"> </w:t>
      </w:r>
      <w:r w:rsidR="00EC0B79" w:rsidRPr="00EC0B79">
        <w:rPr>
          <w:rFonts w:eastAsia="Calibri"/>
          <w:sz w:val="22"/>
          <w:szCs w:val="22"/>
          <w:lang w:val="en-US"/>
        </w:rPr>
        <w:t>(Release 18)</w:t>
      </w:r>
    </w:p>
    <w:p w14:paraId="400F8D90" w14:textId="1B652DD8" w:rsidR="00201387" w:rsidRPr="00EC0B79" w:rsidRDefault="00201387" w:rsidP="00EC0B79">
      <w:pPr>
        <w:pStyle w:val="EX"/>
        <w:rPr>
          <w:rFonts w:eastAsia="Calibri"/>
          <w:sz w:val="22"/>
          <w:szCs w:val="22"/>
          <w:lang w:val="en-US"/>
        </w:rPr>
      </w:pPr>
      <w:r>
        <w:rPr>
          <w:rFonts w:eastAsia="Calibri"/>
          <w:sz w:val="22"/>
          <w:szCs w:val="22"/>
          <w:lang w:val="en-US"/>
        </w:rPr>
        <w:t xml:space="preserve">TS 38.521-3: </w:t>
      </w:r>
      <w:r w:rsidR="00EC0B79" w:rsidRPr="00EC0B79">
        <w:rPr>
          <w:rFonts w:eastAsia="Calibri"/>
          <w:sz w:val="22"/>
          <w:szCs w:val="22"/>
          <w:lang w:val="en-US"/>
        </w:rPr>
        <w:t>3rd Generation Partnership Project;</w:t>
      </w:r>
      <w:r w:rsidR="00EC0B79">
        <w:rPr>
          <w:rFonts w:eastAsia="Calibri"/>
          <w:sz w:val="22"/>
          <w:szCs w:val="22"/>
          <w:lang w:val="en-US"/>
        </w:rPr>
        <w:t xml:space="preserve"> </w:t>
      </w:r>
      <w:r w:rsidR="00EC0B79" w:rsidRPr="00EC0B79">
        <w:rPr>
          <w:rFonts w:eastAsia="Calibri"/>
          <w:sz w:val="22"/>
          <w:szCs w:val="22"/>
          <w:lang w:val="en-US"/>
        </w:rPr>
        <w:t>Technical Specification Group Radio Access Network;</w:t>
      </w:r>
      <w:r w:rsidR="00EC0B79">
        <w:rPr>
          <w:rFonts w:eastAsia="Calibri"/>
          <w:sz w:val="22"/>
          <w:szCs w:val="22"/>
          <w:lang w:val="en-US"/>
        </w:rPr>
        <w:t xml:space="preserve"> </w:t>
      </w:r>
      <w:r w:rsidR="00EC0B79" w:rsidRPr="00EC0B79">
        <w:rPr>
          <w:rFonts w:eastAsia="Calibri"/>
          <w:sz w:val="22"/>
          <w:szCs w:val="22"/>
          <w:lang w:val="en-US"/>
        </w:rPr>
        <w:t>NR;</w:t>
      </w:r>
      <w:r w:rsidR="00EC0B79">
        <w:rPr>
          <w:rFonts w:eastAsia="Calibri"/>
          <w:sz w:val="22"/>
          <w:szCs w:val="22"/>
          <w:lang w:val="en-US"/>
        </w:rPr>
        <w:t xml:space="preserve"> </w:t>
      </w:r>
      <w:r w:rsidR="00EC0B79" w:rsidRPr="00EC0B79">
        <w:rPr>
          <w:rFonts w:eastAsia="Calibri"/>
          <w:sz w:val="22"/>
          <w:szCs w:val="22"/>
          <w:lang w:val="en-US"/>
        </w:rPr>
        <w:t>User Equipment (UE) conformance specification;</w:t>
      </w:r>
      <w:r w:rsidR="00EC0B79">
        <w:rPr>
          <w:rFonts w:eastAsia="Calibri"/>
          <w:sz w:val="22"/>
          <w:szCs w:val="22"/>
          <w:lang w:val="en-US"/>
        </w:rPr>
        <w:t xml:space="preserve"> </w:t>
      </w:r>
      <w:r w:rsidR="00EC0B79" w:rsidRPr="00EC0B79">
        <w:rPr>
          <w:rFonts w:eastAsia="Calibri"/>
          <w:sz w:val="22"/>
          <w:szCs w:val="22"/>
          <w:lang w:val="en-US"/>
        </w:rPr>
        <w:t>Radio transmission and reception;</w:t>
      </w:r>
      <w:r w:rsidR="00EC0B79">
        <w:rPr>
          <w:rFonts w:eastAsia="Calibri"/>
          <w:sz w:val="22"/>
          <w:szCs w:val="22"/>
          <w:lang w:val="en-US"/>
        </w:rPr>
        <w:t xml:space="preserve"> </w:t>
      </w:r>
      <w:r w:rsidR="00EC0B79" w:rsidRPr="00EC0B79">
        <w:rPr>
          <w:rFonts w:eastAsia="Calibri"/>
          <w:sz w:val="22"/>
          <w:szCs w:val="22"/>
          <w:lang w:val="en-US"/>
        </w:rPr>
        <w:t>Part 3: Range 1 and Range 2 Interworking operation</w:t>
      </w:r>
      <w:r w:rsidR="00EC0B79">
        <w:rPr>
          <w:rFonts w:eastAsia="Calibri"/>
          <w:sz w:val="22"/>
          <w:szCs w:val="22"/>
          <w:lang w:val="en-US"/>
        </w:rPr>
        <w:t xml:space="preserve"> </w:t>
      </w:r>
      <w:r w:rsidR="00EC0B79" w:rsidRPr="00EC0B79">
        <w:rPr>
          <w:rFonts w:eastAsia="Calibri"/>
          <w:sz w:val="22"/>
          <w:szCs w:val="22"/>
          <w:lang w:val="en-US"/>
        </w:rPr>
        <w:t>with other radios</w:t>
      </w:r>
      <w:r w:rsidR="00EC0B79">
        <w:rPr>
          <w:rFonts w:eastAsia="Calibri"/>
          <w:sz w:val="22"/>
          <w:szCs w:val="22"/>
          <w:lang w:val="en-US"/>
        </w:rPr>
        <w:t xml:space="preserve"> </w:t>
      </w:r>
      <w:r w:rsidR="00EC0B79" w:rsidRPr="00EC0B79">
        <w:rPr>
          <w:rFonts w:eastAsia="Calibri"/>
          <w:sz w:val="22"/>
          <w:szCs w:val="22"/>
          <w:lang w:val="en-US"/>
        </w:rPr>
        <w:t>(Release 18)</w:t>
      </w:r>
    </w:p>
    <w:sectPr w:rsidR="00201387" w:rsidRPr="00EC0B79" w:rsidSect="00EA2854">
      <w:headerReference w:type="default" r:id="rId14"/>
      <w:footerReference w:type="default" r:id="rId15"/>
      <w:footnotePr>
        <w:numRestart w:val="eachSect"/>
      </w:footnotePr>
      <w:pgSz w:w="11907" w:h="16840" w:code="9"/>
      <w:pgMar w:top="1138" w:right="1138" w:bottom="1411" w:left="1138" w:header="850" w:footer="346"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FC200" w14:textId="77777777" w:rsidR="00DE40F5" w:rsidRDefault="00DE40F5">
      <w:r>
        <w:separator/>
      </w:r>
    </w:p>
  </w:endnote>
  <w:endnote w:type="continuationSeparator" w:id="0">
    <w:p w14:paraId="159D9CA9" w14:textId="77777777" w:rsidR="00DE40F5" w:rsidRDefault="00DE4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1D88221" w:rsidR="00E72324" w:rsidRDefault="00E72324" w:rsidP="003D4D72">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0FC37" w14:textId="77777777" w:rsidR="00DE40F5" w:rsidRDefault="00DE40F5">
      <w:r>
        <w:separator/>
      </w:r>
    </w:p>
  </w:footnote>
  <w:footnote w:type="continuationSeparator" w:id="0">
    <w:p w14:paraId="755011F9" w14:textId="77777777" w:rsidR="00DE40F5" w:rsidRDefault="00DE4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57248F3C"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47B9">
      <w:rPr>
        <w:rFonts w:ascii="Arial" w:hAnsi="Arial" w:cs="Arial"/>
        <w:b/>
        <w:noProof/>
        <w:sz w:val="18"/>
        <w:szCs w:val="18"/>
      </w:rPr>
      <w:t>4</w:t>
    </w:r>
    <w:r>
      <w:rPr>
        <w:rFonts w:ascii="Arial" w:hAnsi="Arial" w:cs="Arial"/>
        <w:b/>
        <w:sz w:val="18"/>
        <w:szCs w:val="18"/>
      </w:rPr>
      <w:fldChar w:fldCharType="end"/>
    </w:r>
  </w:p>
  <w:p w14:paraId="494DA639" w14:textId="77777777" w:rsidR="003D4D72" w:rsidRDefault="003D4D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07029"/>
    <w:multiLevelType w:val="hybridMultilevel"/>
    <w:tmpl w:val="BE80C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0E020B2"/>
    <w:multiLevelType w:val="hybridMultilevel"/>
    <w:tmpl w:val="26363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7D7016"/>
    <w:multiLevelType w:val="hybridMultilevel"/>
    <w:tmpl w:val="778A7604"/>
    <w:lvl w:ilvl="0" w:tplc="299E0EE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1"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49936C2"/>
    <w:multiLevelType w:val="hybridMultilevel"/>
    <w:tmpl w:val="C0283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4E03869"/>
    <w:multiLevelType w:val="hybridMultilevel"/>
    <w:tmpl w:val="31120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5591E66"/>
    <w:multiLevelType w:val="hybridMultilevel"/>
    <w:tmpl w:val="A978E2F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7"/>
  </w:num>
  <w:num w:numId="5">
    <w:abstractNumId w:val="3"/>
  </w:num>
  <w:num w:numId="6">
    <w:abstractNumId w:val="3"/>
  </w:num>
  <w:num w:numId="7">
    <w:abstractNumId w:val="18"/>
  </w:num>
  <w:num w:numId="8">
    <w:abstractNumId w:val="6"/>
  </w:num>
  <w:num w:numId="9">
    <w:abstractNumId w:val="24"/>
  </w:num>
  <w:num w:numId="10">
    <w:abstractNumId w:val="16"/>
  </w:num>
  <w:num w:numId="11">
    <w:abstractNumId w:val="22"/>
  </w:num>
  <w:num w:numId="12">
    <w:abstractNumId w:val="23"/>
  </w:num>
  <w:num w:numId="13">
    <w:abstractNumId w:val="25"/>
  </w:num>
  <w:num w:numId="14">
    <w:abstractNumId w:val="12"/>
  </w:num>
  <w:num w:numId="15">
    <w:abstractNumId w:val="9"/>
  </w:num>
  <w:num w:numId="16">
    <w:abstractNumId w:val="28"/>
  </w:num>
  <w:num w:numId="17">
    <w:abstractNumId w:val="15"/>
  </w:num>
  <w:num w:numId="18">
    <w:abstractNumId w:val="21"/>
  </w:num>
  <w:num w:numId="19">
    <w:abstractNumId w:val="26"/>
  </w:num>
  <w:num w:numId="20">
    <w:abstractNumId w:val="14"/>
  </w:num>
  <w:num w:numId="21">
    <w:abstractNumId w:val="11"/>
  </w:num>
  <w:num w:numId="22">
    <w:abstractNumId w:val="10"/>
  </w:num>
  <w:num w:numId="23">
    <w:abstractNumId w:val="0"/>
  </w:num>
  <w:num w:numId="24">
    <w:abstractNumId w:val="5"/>
  </w:num>
  <w:num w:numId="25">
    <w:abstractNumId w:val="30"/>
  </w:num>
  <w:num w:numId="26">
    <w:abstractNumId w:val="19"/>
  </w:num>
  <w:num w:numId="27">
    <w:abstractNumId w:val="20"/>
  </w:num>
  <w:num w:numId="28">
    <w:abstractNumId w:val="3"/>
  </w:num>
  <w:num w:numId="29">
    <w:abstractNumId w:val="3"/>
  </w:num>
  <w:num w:numId="30">
    <w:abstractNumId w:val="3"/>
  </w:num>
  <w:num w:numId="31">
    <w:abstractNumId w:val="3"/>
  </w:num>
  <w:num w:numId="32">
    <w:abstractNumId w:val="3"/>
  </w:num>
  <w:num w:numId="33">
    <w:abstractNumId w:val="17"/>
  </w:num>
  <w:num w:numId="34">
    <w:abstractNumId w:val="29"/>
  </w:num>
  <w:num w:numId="35">
    <w:abstractNumId w:val="8"/>
  </w:num>
  <w:num w:numId="36">
    <w:abstractNumId w:val="7"/>
  </w:num>
  <w:num w:numId="37">
    <w:abstractNumId w:val="4"/>
  </w:num>
  <w:num w:numId="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E38"/>
    <w:rsid w:val="00014422"/>
    <w:rsid w:val="00024819"/>
    <w:rsid w:val="00024E5B"/>
    <w:rsid w:val="00033397"/>
    <w:rsid w:val="00035F38"/>
    <w:rsid w:val="00040095"/>
    <w:rsid w:val="00040854"/>
    <w:rsid w:val="00044B49"/>
    <w:rsid w:val="00051834"/>
    <w:rsid w:val="000534DB"/>
    <w:rsid w:val="00053D3E"/>
    <w:rsid w:val="00054A22"/>
    <w:rsid w:val="00057279"/>
    <w:rsid w:val="0006102C"/>
    <w:rsid w:val="00062023"/>
    <w:rsid w:val="00062219"/>
    <w:rsid w:val="00064879"/>
    <w:rsid w:val="000655A6"/>
    <w:rsid w:val="00065F3A"/>
    <w:rsid w:val="0006734E"/>
    <w:rsid w:val="00072C55"/>
    <w:rsid w:val="00074F18"/>
    <w:rsid w:val="00076F16"/>
    <w:rsid w:val="00077DD6"/>
    <w:rsid w:val="00080512"/>
    <w:rsid w:val="000A1792"/>
    <w:rsid w:val="000A365D"/>
    <w:rsid w:val="000A3E87"/>
    <w:rsid w:val="000A51E1"/>
    <w:rsid w:val="000A7876"/>
    <w:rsid w:val="000B20D6"/>
    <w:rsid w:val="000C3839"/>
    <w:rsid w:val="000C47C3"/>
    <w:rsid w:val="000C4822"/>
    <w:rsid w:val="000C70AF"/>
    <w:rsid w:val="000C71D9"/>
    <w:rsid w:val="000D58AB"/>
    <w:rsid w:val="000E5241"/>
    <w:rsid w:val="000E7DD4"/>
    <w:rsid w:val="000F11FB"/>
    <w:rsid w:val="00102D97"/>
    <w:rsid w:val="00104BC6"/>
    <w:rsid w:val="00117469"/>
    <w:rsid w:val="00122A89"/>
    <w:rsid w:val="00125BAC"/>
    <w:rsid w:val="0013225F"/>
    <w:rsid w:val="00132A7F"/>
    <w:rsid w:val="00133525"/>
    <w:rsid w:val="0014035F"/>
    <w:rsid w:val="00140EEA"/>
    <w:rsid w:val="00142053"/>
    <w:rsid w:val="00156DCB"/>
    <w:rsid w:val="0015779C"/>
    <w:rsid w:val="001578F5"/>
    <w:rsid w:val="00157E6A"/>
    <w:rsid w:val="00164120"/>
    <w:rsid w:val="0019035B"/>
    <w:rsid w:val="00195C61"/>
    <w:rsid w:val="00196538"/>
    <w:rsid w:val="001A3935"/>
    <w:rsid w:val="001A4C42"/>
    <w:rsid w:val="001A5922"/>
    <w:rsid w:val="001A79C1"/>
    <w:rsid w:val="001B0CF2"/>
    <w:rsid w:val="001B5F1B"/>
    <w:rsid w:val="001C21C3"/>
    <w:rsid w:val="001D02C2"/>
    <w:rsid w:val="001F0282"/>
    <w:rsid w:val="001F0C1D"/>
    <w:rsid w:val="001F0FB3"/>
    <w:rsid w:val="001F1132"/>
    <w:rsid w:val="001F168B"/>
    <w:rsid w:val="001F2E85"/>
    <w:rsid w:val="00201387"/>
    <w:rsid w:val="002044BC"/>
    <w:rsid w:val="0020714B"/>
    <w:rsid w:val="00211CB2"/>
    <w:rsid w:val="00212E4D"/>
    <w:rsid w:val="00214B01"/>
    <w:rsid w:val="00214E51"/>
    <w:rsid w:val="00224712"/>
    <w:rsid w:val="0022544C"/>
    <w:rsid w:val="00232BCD"/>
    <w:rsid w:val="002347A2"/>
    <w:rsid w:val="002412BB"/>
    <w:rsid w:val="0024331B"/>
    <w:rsid w:val="002434EC"/>
    <w:rsid w:val="0024391A"/>
    <w:rsid w:val="00247926"/>
    <w:rsid w:val="002534CE"/>
    <w:rsid w:val="00257499"/>
    <w:rsid w:val="002675F0"/>
    <w:rsid w:val="002721D4"/>
    <w:rsid w:val="00276EE4"/>
    <w:rsid w:val="0028318B"/>
    <w:rsid w:val="0028344A"/>
    <w:rsid w:val="002906D1"/>
    <w:rsid w:val="00291348"/>
    <w:rsid w:val="002928E7"/>
    <w:rsid w:val="002A0AFF"/>
    <w:rsid w:val="002A4FD7"/>
    <w:rsid w:val="002B2686"/>
    <w:rsid w:val="002B5A1F"/>
    <w:rsid w:val="002B6339"/>
    <w:rsid w:val="002D1A61"/>
    <w:rsid w:val="002E00EE"/>
    <w:rsid w:val="00314613"/>
    <w:rsid w:val="003172DC"/>
    <w:rsid w:val="003226C1"/>
    <w:rsid w:val="00322BC6"/>
    <w:rsid w:val="00322E24"/>
    <w:rsid w:val="00325F2B"/>
    <w:rsid w:val="003340F8"/>
    <w:rsid w:val="0034036E"/>
    <w:rsid w:val="00343AEA"/>
    <w:rsid w:val="0035462D"/>
    <w:rsid w:val="003569A8"/>
    <w:rsid w:val="003607D9"/>
    <w:rsid w:val="00360FE4"/>
    <w:rsid w:val="0036271A"/>
    <w:rsid w:val="00363271"/>
    <w:rsid w:val="0037379D"/>
    <w:rsid w:val="00375BF5"/>
    <w:rsid w:val="003765B8"/>
    <w:rsid w:val="00386D96"/>
    <w:rsid w:val="003A0483"/>
    <w:rsid w:val="003A3C24"/>
    <w:rsid w:val="003A4C2C"/>
    <w:rsid w:val="003B16F0"/>
    <w:rsid w:val="003C0739"/>
    <w:rsid w:val="003C09D3"/>
    <w:rsid w:val="003C112B"/>
    <w:rsid w:val="003C3971"/>
    <w:rsid w:val="003C7E49"/>
    <w:rsid w:val="003D4D72"/>
    <w:rsid w:val="003E3BAF"/>
    <w:rsid w:val="003E59F1"/>
    <w:rsid w:val="003E7753"/>
    <w:rsid w:val="003F4606"/>
    <w:rsid w:val="00422FBA"/>
    <w:rsid w:val="00423334"/>
    <w:rsid w:val="00424E95"/>
    <w:rsid w:val="004266F6"/>
    <w:rsid w:val="00432073"/>
    <w:rsid w:val="004345EC"/>
    <w:rsid w:val="00457F7D"/>
    <w:rsid w:val="00460485"/>
    <w:rsid w:val="00465E6F"/>
    <w:rsid w:val="00475989"/>
    <w:rsid w:val="0047619D"/>
    <w:rsid w:val="004826A9"/>
    <w:rsid w:val="00483EAA"/>
    <w:rsid w:val="00493E71"/>
    <w:rsid w:val="00496287"/>
    <w:rsid w:val="00497A65"/>
    <w:rsid w:val="004A03C3"/>
    <w:rsid w:val="004B277B"/>
    <w:rsid w:val="004B60A8"/>
    <w:rsid w:val="004B6272"/>
    <w:rsid w:val="004B787B"/>
    <w:rsid w:val="004C1601"/>
    <w:rsid w:val="004D3578"/>
    <w:rsid w:val="004E091C"/>
    <w:rsid w:val="004E213A"/>
    <w:rsid w:val="004E46B4"/>
    <w:rsid w:val="004E7298"/>
    <w:rsid w:val="004F0988"/>
    <w:rsid w:val="004F3340"/>
    <w:rsid w:val="004F3E3D"/>
    <w:rsid w:val="00500BF8"/>
    <w:rsid w:val="00511017"/>
    <w:rsid w:val="005202C2"/>
    <w:rsid w:val="00521B41"/>
    <w:rsid w:val="00523C23"/>
    <w:rsid w:val="00525DE4"/>
    <w:rsid w:val="00525E85"/>
    <w:rsid w:val="00527012"/>
    <w:rsid w:val="005306D7"/>
    <w:rsid w:val="00531FFD"/>
    <w:rsid w:val="0053388B"/>
    <w:rsid w:val="00534582"/>
    <w:rsid w:val="00535773"/>
    <w:rsid w:val="00535947"/>
    <w:rsid w:val="00535E9C"/>
    <w:rsid w:val="00543E6C"/>
    <w:rsid w:val="005613DC"/>
    <w:rsid w:val="00565087"/>
    <w:rsid w:val="00572734"/>
    <w:rsid w:val="00572E14"/>
    <w:rsid w:val="00576BD5"/>
    <w:rsid w:val="0058734A"/>
    <w:rsid w:val="005907B7"/>
    <w:rsid w:val="00593C6D"/>
    <w:rsid w:val="005973BE"/>
    <w:rsid w:val="005A58D6"/>
    <w:rsid w:val="005A5986"/>
    <w:rsid w:val="005B11D2"/>
    <w:rsid w:val="005B25A2"/>
    <w:rsid w:val="005B5279"/>
    <w:rsid w:val="005B761E"/>
    <w:rsid w:val="005C03E9"/>
    <w:rsid w:val="005C0FE2"/>
    <w:rsid w:val="005C3487"/>
    <w:rsid w:val="005C6470"/>
    <w:rsid w:val="005D1CD3"/>
    <w:rsid w:val="005D2E01"/>
    <w:rsid w:val="005D7526"/>
    <w:rsid w:val="005E69AE"/>
    <w:rsid w:val="005E7CD2"/>
    <w:rsid w:val="00602109"/>
    <w:rsid w:val="006025E2"/>
    <w:rsid w:val="00602AEA"/>
    <w:rsid w:val="0060655B"/>
    <w:rsid w:val="00607E3C"/>
    <w:rsid w:val="006110AE"/>
    <w:rsid w:val="00614A58"/>
    <w:rsid w:val="00614FDF"/>
    <w:rsid w:val="00616DC4"/>
    <w:rsid w:val="00623FFB"/>
    <w:rsid w:val="006246A7"/>
    <w:rsid w:val="0062595A"/>
    <w:rsid w:val="0063543D"/>
    <w:rsid w:val="00647114"/>
    <w:rsid w:val="006539B9"/>
    <w:rsid w:val="00660D64"/>
    <w:rsid w:val="006612B9"/>
    <w:rsid w:val="00662249"/>
    <w:rsid w:val="00666606"/>
    <w:rsid w:val="0067066D"/>
    <w:rsid w:val="006745E5"/>
    <w:rsid w:val="00677D8A"/>
    <w:rsid w:val="00690340"/>
    <w:rsid w:val="006937C5"/>
    <w:rsid w:val="00695186"/>
    <w:rsid w:val="006A323F"/>
    <w:rsid w:val="006A64D8"/>
    <w:rsid w:val="006B2181"/>
    <w:rsid w:val="006B30D0"/>
    <w:rsid w:val="006C3D95"/>
    <w:rsid w:val="006D0152"/>
    <w:rsid w:val="006D070D"/>
    <w:rsid w:val="006D5CA7"/>
    <w:rsid w:val="006D762F"/>
    <w:rsid w:val="006E20B1"/>
    <w:rsid w:val="006E5C86"/>
    <w:rsid w:val="006E69CA"/>
    <w:rsid w:val="006F31E0"/>
    <w:rsid w:val="00702CDC"/>
    <w:rsid w:val="007112F8"/>
    <w:rsid w:val="007133DB"/>
    <w:rsid w:val="00713C44"/>
    <w:rsid w:val="00724418"/>
    <w:rsid w:val="007267D3"/>
    <w:rsid w:val="00727FD0"/>
    <w:rsid w:val="00734A5B"/>
    <w:rsid w:val="0074026F"/>
    <w:rsid w:val="00741204"/>
    <w:rsid w:val="007419DA"/>
    <w:rsid w:val="007429F6"/>
    <w:rsid w:val="00744E76"/>
    <w:rsid w:val="007468ED"/>
    <w:rsid w:val="00752198"/>
    <w:rsid w:val="007525F7"/>
    <w:rsid w:val="00753881"/>
    <w:rsid w:val="00753DDB"/>
    <w:rsid w:val="00756BA7"/>
    <w:rsid w:val="00761361"/>
    <w:rsid w:val="00765F7C"/>
    <w:rsid w:val="0076675C"/>
    <w:rsid w:val="00773825"/>
    <w:rsid w:val="00774829"/>
    <w:rsid w:val="00774DA4"/>
    <w:rsid w:val="007769A4"/>
    <w:rsid w:val="00781F0F"/>
    <w:rsid w:val="00782C02"/>
    <w:rsid w:val="007835BC"/>
    <w:rsid w:val="007840D5"/>
    <w:rsid w:val="007847B9"/>
    <w:rsid w:val="00787105"/>
    <w:rsid w:val="00791D4B"/>
    <w:rsid w:val="00793992"/>
    <w:rsid w:val="00794FF5"/>
    <w:rsid w:val="007A255B"/>
    <w:rsid w:val="007A4A23"/>
    <w:rsid w:val="007B2019"/>
    <w:rsid w:val="007B2679"/>
    <w:rsid w:val="007B5C8F"/>
    <w:rsid w:val="007B600E"/>
    <w:rsid w:val="007B6679"/>
    <w:rsid w:val="007C3252"/>
    <w:rsid w:val="007C4E1F"/>
    <w:rsid w:val="007C6851"/>
    <w:rsid w:val="007C6E5A"/>
    <w:rsid w:val="007C758D"/>
    <w:rsid w:val="007D0A35"/>
    <w:rsid w:val="007E29E4"/>
    <w:rsid w:val="007E52EC"/>
    <w:rsid w:val="007E56A9"/>
    <w:rsid w:val="007F0F4A"/>
    <w:rsid w:val="007F3FCD"/>
    <w:rsid w:val="00802509"/>
    <w:rsid w:val="008028A4"/>
    <w:rsid w:val="0080546A"/>
    <w:rsid w:val="00817EAE"/>
    <w:rsid w:val="00820B25"/>
    <w:rsid w:val="00821CC7"/>
    <w:rsid w:val="0082214F"/>
    <w:rsid w:val="00822E27"/>
    <w:rsid w:val="00830747"/>
    <w:rsid w:val="00847A61"/>
    <w:rsid w:val="00851990"/>
    <w:rsid w:val="00867B8A"/>
    <w:rsid w:val="008731F8"/>
    <w:rsid w:val="00876690"/>
    <w:rsid w:val="008768CA"/>
    <w:rsid w:val="00876A44"/>
    <w:rsid w:val="00886330"/>
    <w:rsid w:val="00896D88"/>
    <w:rsid w:val="008A2FB4"/>
    <w:rsid w:val="008A3891"/>
    <w:rsid w:val="008A52F1"/>
    <w:rsid w:val="008B4E0E"/>
    <w:rsid w:val="008C384C"/>
    <w:rsid w:val="008D3CDD"/>
    <w:rsid w:val="008D67A1"/>
    <w:rsid w:val="008E7986"/>
    <w:rsid w:val="008F0726"/>
    <w:rsid w:val="008F0F1A"/>
    <w:rsid w:val="008F3DEB"/>
    <w:rsid w:val="0090167F"/>
    <w:rsid w:val="0090271F"/>
    <w:rsid w:val="00902E23"/>
    <w:rsid w:val="00910315"/>
    <w:rsid w:val="009114D7"/>
    <w:rsid w:val="0091348E"/>
    <w:rsid w:val="00914EBC"/>
    <w:rsid w:val="00917CCB"/>
    <w:rsid w:val="00924C82"/>
    <w:rsid w:val="00925F1A"/>
    <w:rsid w:val="0094218B"/>
    <w:rsid w:val="00942EC2"/>
    <w:rsid w:val="00975EE4"/>
    <w:rsid w:val="00977C37"/>
    <w:rsid w:val="00985AC6"/>
    <w:rsid w:val="009977B4"/>
    <w:rsid w:val="00997A64"/>
    <w:rsid w:val="009A1794"/>
    <w:rsid w:val="009A1B33"/>
    <w:rsid w:val="009A4A3B"/>
    <w:rsid w:val="009A5F2F"/>
    <w:rsid w:val="009B05E3"/>
    <w:rsid w:val="009C04B4"/>
    <w:rsid w:val="009E1E07"/>
    <w:rsid w:val="009E2690"/>
    <w:rsid w:val="009E2E62"/>
    <w:rsid w:val="009E3807"/>
    <w:rsid w:val="009E515E"/>
    <w:rsid w:val="009F19EF"/>
    <w:rsid w:val="009F37B7"/>
    <w:rsid w:val="009F5E43"/>
    <w:rsid w:val="009F6471"/>
    <w:rsid w:val="009F78FF"/>
    <w:rsid w:val="00A05E36"/>
    <w:rsid w:val="00A10F02"/>
    <w:rsid w:val="00A12A70"/>
    <w:rsid w:val="00A16042"/>
    <w:rsid w:val="00A164B4"/>
    <w:rsid w:val="00A2404B"/>
    <w:rsid w:val="00A26956"/>
    <w:rsid w:val="00A430C0"/>
    <w:rsid w:val="00A43620"/>
    <w:rsid w:val="00A5329D"/>
    <w:rsid w:val="00A53724"/>
    <w:rsid w:val="00A54C60"/>
    <w:rsid w:val="00A61992"/>
    <w:rsid w:val="00A64EC2"/>
    <w:rsid w:val="00A73129"/>
    <w:rsid w:val="00A82346"/>
    <w:rsid w:val="00A8615F"/>
    <w:rsid w:val="00A872A0"/>
    <w:rsid w:val="00A92776"/>
    <w:rsid w:val="00A92BA1"/>
    <w:rsid w:val="00AB53F9"/>
    <w:rsid w:val="00AC6334"/>
    <w:rsid w:val="00AC6BC6"/>
    <w:rsid w:val="00AD0100"/>
    <w:rsid w:val="00AD1114"/>
    <w:rsid w:val="00AE3797"/>
    <w:rsid w:val="00AF1DE7"/>
    <w:rsid w:val="00AF2674"/>
    <w:rsid w:val="00AF4320"/>
    <w:rsid w:val="00AF628D"/>
    <w:rsid w:val="00AF7CFB"/>
    <w:rsid w:val="00B00E0F"/>
    <w:rsid w:val="00B03815"/>
    <w:rsid w:val="00B054BA"/>
    <w:rsid w:val="00B06C87"/>
    <w:rsid w:val="00B11FC9"/>
    <w:rsid w:val="00B15449"/>
    <w:rsid w:val="00B254AA"/>
    <w:rsid w:val="00B26396"/>
    <w:rsid w:val="00B32A91"/>
    <w:rsid w:val="00B409DE"/>
    <w:rsid w:val="00B40A7D"/>
    <w:rsid w:val="00B75855"/>
    <w:rsid w:val="00B85846"/>
    <w:rsid w:val="00B93086"/>
    <w:rsid w:val="00B9499E"/>
    <w:rsid w:val="00B951CD"/>
    <w:rsid w:val="00B97AE0"/>
    <w:rsid w:val="00BA19ED"/>
    <w:rsid w:val="00BA2E50"/>
    <w:rsid w:val="00BA300B"/>
    <w:rsid w:val="00BA36BF"/>
    <w:rsid w:val="00BA4B8D"/>
    <w:rsid w:val="00BB7655"/>
    <w:rsid w:val="00BC0F7D"/>
    <w:rsid w:val="00BC1384"/>
    <w:rsid w:val="00BD3D92"/>
    <w:rsid w:val="00BE3255"/>
    <w:rsid w:val="00BE3B54"/>
    <w:rsid w:val="00BE454F"/>
    <w:rsid w:val="00BE6F59"/>
    <w:rsid w:val="00BF128E"/>
    <w:rsid w:val="00C00220"/>
    <w:rsid w:val="00C0217C"/>
    <w:rsid w:val="00C03848"/>
    <w:rsid w:val="00C0726E"/>
    <w:rsid w:val="00C126B0"/>
    <w:rsid w:val="00C12A6C"/>
    <w:rsid w:val="00C1496A"/>
    <w:rsid w:val="00C1593F"/>
    <w:rsid w:val="00C15D74"/>
    <w:rsid w:val="00C16AD4"/>
    <w:rsid w:val="00C25E1C"/>
    <w:rsid w:val="00C318F0"/>
    <w:rsid w:val="00C33079"/>
    <w:rsid w:val="00C377DA"/>
    <w:rsid w:val="00C42462"/>
    <w:rsid w:val="00C45231"/>
    <w:rsid w:val="00C52AD9"/>
    <w:rsid w:val="00C65694"/>
    <w:rsid w:val="00C70BC5"/>
    <w:rsid w:val="00C72833"/>
    <w:rsid w:val="00C75A22"/>
    <w:rsid w:val="00C770FA"/>
    <w:rsid w:val="00C80F1D"/>
    <w:rsid w:val="00C9163F"/>
    <w:rsid w:val="00C91E8E"/>
    <w:rsid w:val="00C9357F"/>
    <w:rsid w:val="00C93F40"/>
    <w:rsid w:val="00CA2FCD"/>
    <w:rsid w:val="00CA3D0C"/>
    <w:rsid w:val="00CA4DE2"/>
    <w:rsid w:val="00CA58C0"/>
    <w:rsid w:val="00CA7DCF"/>
    <w:rsid w:val="00CB2FDE"/>
    <w:rsid w:val="00CB67D4"/>
    <w:rsid w:val="00CC2EBD"/>
    <w:rsid w:val="00CC5DE9"/>
    <w:rsid w:val="00CC75E2"/>
    <w:rsid w:val="00CD053D"/>
    <w:rsid w:val="00CD2010"/>
    <w:rsid w:val="00CE1675"/>
    <w:rsid w:val="00CE3070"/>
    <w:rsid w:val="00CE3D5E"/>
    <w:rsid w:val="00CF20E3"/>
    <w:rsid w:val="00CF7EA0"/>
    <w:rsid w:val="00D00D4A"/>
    <w:rsid w:val="00D03B7E"/>
    <w:rsid w:val="00D136FB"/>
    <w:rsid w:val="00D154F4"/>
    <w:rsid w:val="00D160E2"/>
    <w:rsid w:val="00D171FF"/>
    <w:rsid w:val="00D220B3"/>
    <w:rsid w:val="00D22906"/>
    <w:rsid w:val="00D22DBD"/>
    <w:rsid w:val="00D2339F"/>
    <w:rsid w:val="00D269E6"/>
    <w:rsid w:val="00D309CC"/>
    <w:rsid w:val="00D46431"/>
    <w:rsid w:val="00D53071"/>
    <w:rsid w:val="00D54D30"/>
    <w:rsid w:val="00D56A52"/>
    <w:rsid w:val="00D57972"/>
    <w:rsid w:val="00D675A9"/>
    <w:rsid w:val="00D722DD"/>
    <w:rsid w:val="00D738D6"/>
    <w:rsid w:val="00D755EB"/>
    <w:rsid w:val="00D87E00"/>
    <w:rsid w:val="00D9134D"/>
    <w:rsid w:val="00D95E67"/>
    <w:rsid w:val="00D9788E"/>
    <w:rsid w:val="00D97BA1"/>
    <w:rsid w:val="00DA08A6"/>
    <w:rsid w:val="00DA7A03"/>
    <w:rsid w:val="00DB1818"/>
    <w:rsid w:val="00DB2F35"/>
    <w:rsid w:val="00DB3B09"/>
    <w:rsid w:val="00DC309B"/>
    <w:rsid w:val="00DC450C"/>
    <w:rsid w:val="00DC4DA2"/>
    <w:rsid w:val="00DD015E"/>
    <w:rsid w:val="00DD4C17"/>
    <w:rsid w:val="00DE40F5"/>
    <w:rsid w:val="00DE4746"/>
    <w:rsid w:val="00DE56DD"/>
    <w:rsid w:val="00DF2B1F"/>
    <w:rsid w:val="00DF6189"/>
    <w:rsid w:val="00DF62CD"/>
    <w:rsid w:val="00E01FBD"/>
    <w:rsid w:val="00E05755"/>
    <w:rsid w:val="00E07495"/>
    <w:rsid w:val="00E16509"/>
    <w:rsid w:val="00E27B53"/>
    <w:rsid w:val="00E27FC8"/>
    <w:rsid w:val="00E44582"/>
    <w:rsid w:val="00E462D6"/>
    <w:rsid w:val="00E46D2A"/>
    <w:rsid w:val="00E52814"/>
    <w:rsid w:val="00E533E0"/>
    <w:rsid w:val="00E67841"/>
    <w:rsid w:val="00E72324"/>
    <w:rsid w:val="00E72ABE"/>
    <w:rsid w:val="00E7759F"/>
    <w:rsid w:val="00E77645"/>
    <w:rsid w:val="00E948D3"/>
    <w:rsid w:val="00EA2854"/>
    <w:rsid w:val="00EC0B79"/>
    <w:rsid w:val="00EC4A25"/>
    <w:rsid w:val="00ED0C20"/>
    <w:rsid w:val="00ED3EEC"/>
    <w:rsid w:val="00EE5AA7"/>
    <w:rsid w:val="00EF2FE9"/>
    <w:rsid w:val="00EF5C8E"/>
    <w:rsid w:val="00EF6121"/>
    <w:rsid w:val="00F002D4"/>
    <w:rsid w:val="00F025A2"/>
    <w:rsid w:val="00F04712"/>
    <w:rsid w:val="00F04C49"/>
    <w:rsid w:val="00F062E2"/>
    <w:rsid w:val="00F06601"/>
    <w:rsid w:val="00F16034"/>
    <w:rsid w:val="00F21311"/>
    <w:rsid w:val="00F22EC7"/>
    <w:rsid w:val="00F325C8"/>
    <w:rsid w:val="00F45941"/>
    <w:rsid w:val="00F45E5F"/>
    <w:rsid w:val="00F46206"/>
    <w:rsid w:val="00F51397"/>
    <w:rsid w:val="00F52BCF"/>
    <w:rsid w:val="00F56759"/>
    <w:rsid w:val="00F57E6F"/>
    <w:rsid w:val="00F620A8"/>
    <w:rsid w:val="00F62330"/>
    <w:rsid w:val="00F62AEB"/>
    <w:rsid w:val="00F63A0D"/>
    <w:rsid w:val="00F653B8"/>
    <w:rsid w:val="00F70647"/>
    <w:rsid w:val="00F72BF1"/>
    <w:rsid w:val="00F7390F"/>
    <w:rsid w:val="00F74B70"/>
    <w:rsid w:val="00F811C3"/>
    <w:rsid w:val="00F8560D"/>
    <w:rsid w:val="00F97672"/>
    <w:rsid w:val="00FA1266"/>
    <w:rsid w:val="00FA1411"/>
    <w:rsid w:val="00FA6468"/>
    <w:rsid w:val="00FB4E78"/>
    <w:rsid w:val="00FC108C"/>
    <w:rsid w:val="00FC1192"/>
    <w:rsid w:val="00FD2439"/>
    <w:rsid w:val="00FD46D8"/>
    <w:rsid w:val="00FD6083"/>
    <w:rsid w:val="00FD6467"/>
    <w:rsid w:val="00FE7441"/>
    <w:rsid w:val="00FF1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3552204">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3772733">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88047760">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FC93C-8AEA-4D54-B5EA-ADDEE3D7E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1059</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Jinwen Ma</cp:lastModifiedBy>
  <cp:revision>5</cp:revision>
  <cp:lastPrinted>2025-01-23T19:32:00Z</cp:lastPrinted>
  <dcterms:created xsi:type="dcterms:W3CDTF">2025-05-08T22:07:00Z</dcterms:created>
  <dcterms:modified xsi:type="dcterms:W3CDTF">2025-05-09T15:55:00Z</dcterms:modified>
  <cp:category/>
</cp:coreProperties>
</file>